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Borders>
          <w:top w:val="none" w:sz="0" w:space="0" w:color="auto"/>
          <w:left w:val="none" w:sz="0" w:space="0" w:color="auto"/>
          <w:bottom w:val="thickThinMediumGap" w:sz="24" w:space="0" w:color="002060"/>
          <w:right w:val="none" w:sz="0" w:space="0" w:color="auto"/>
          <w:insideH w:val="none" w:sz="0" w:space="0" w:color="auto"/>
          <w:insideV w:val="none" w:sz="0" w:space="0" w:color="auto"/>
        </w:tblBorders>
        <w:tblLook w:val="04A0" w:firstRow="1" w:lastRow="0" w:firstColumn="1" w:lastColumn="0" w:noHBand="0" w:noVBand="1"/>
      </w:tblPr>
      <w:tblGrid>
        <w:gridCol w:w="3816"/>
        <w:gridCol w:w="620"/>
        <w:gridCol w:w="5104"/>
      </w:tblGrid>
      <w:tr w:rsidR="003713CA" w:rsidRPr="00F70298" w:rsidTr="00052D6B">
        <w:tc>
          <w:tcPr>
            <w:tcW w:w="3816" w:type="dxa"/>
          </w:tcPr>
          <w:p w:rsidR="003713CA" w:rsidRPr="00F70298" w:rsidRDefault="003713CA" w:rsidP="00052D6B">
            <w:pPr>
              <w:jc w:val="center"/>
              <w:rPr>
                <w:b/>
                <w:i/>
                <w:iCs/>
              </w:rPr>
            </w:pPr>
            <w:bookmarkStart w:id="0" w:name="_GoBack"/>
            <w:bookmarkEnd w:id="0"/>
            <w:r w:rsidRPr="00F70298">
              <w:rPr>
                <w:noProof/>
              </w:rPr>
              <w:drawing>
                <wp:inline distT="0" distB="0" distL="0" distR="0" wp14:anchorId="4F2E8E37" wp14:editId="4812B0D1">
                  <wp:extent cx="2286000" cy="314325"/>
                  <wp:effectExtent l="0" t="0" r="0" b="9525"/>
                  <wp:docPr id="3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p w:rsidR="003713CA" w:rsidRPr="00F70298" w:rsidRDefault="003713CA" w:rsidP="00052D6B">
            <w:pPr>
              <w:pStyle w:val="NoSpacing"/>
              <w:rPr>
                <w:rFonts w:cs="Times New Roman"/>
                <w:b/>
                <w:color w:val="215868" w:themeColor="accent5" w:themeShade="80"/>
                <w:sz w:val="18"/>
              </w:rPr>
            </w:pPr>
            <w:r w:rsidRPr="00F70298">
              <w:rPr>
                <w:rFonts w:cs="Times New Roman"/>
                <w:b/>
                <w:color w:val="215868" w:themeColor="accent5" w:themeShade="80"/>
              </w:rPr>
              <w:t>Institutional Review Board (IRB)</w:t>
            </w:r>
          </w:p>
          <w:p w:rsidR="003713CA" w:rsidRPr="00F70298" w:rsidRDefault="003713CA" w:rsidP="00052D6B">
            <w:pPr>
              <w:jc w:val="center"/>
              <w:rPr>
                <w:b/>
                <w:i/>
                <w:iCs/>
              </w:rPr>
            </w:pPr>
          </w:p>
        </w:tc>
        <w:tc>
          <w:tcPr>
            <w:tcW w:w="620" w:type="dxa"/>
          </w:tcPr>
          <w:p w:rsidR="003713CA" w:rsidRPr="00F70298" w:rsidRDefault="003713CA" w:rsidP="00052D6B">
            <w:pPr>
              <w:pStyle w:val="NoSpacing"/>
              <w:rPr>
                <w:rFonts w:cs="Times New Roman"/>
              </w:rPr>
            </w:pPr>
          </w:p>
        </w:tc>
        <w:tc>
          <w:tcPr>
            <w:tcW w:w="5104" w:type="dxa"/>
          </w:tcPr>
          <w:p w:rsidR="003713CA" w:rsidRPr="00A143AA" w:rsidRDefault="003713CA" w:rsidP="00052D6B">
            <w:pPr>
              <w:pStyle w:val="NoSpacing"/>
              <w:jc w:val="right"/>
              <w:rPr>
                <w:rFonts w:cs="Times New Roman"/>
                <w:b/>
                <w:color w:val="C00000"/>
                <w:sz w:val="32"/>
              </w:rPr>
            </w:pPr>
            <w:r>
              <w:rPr>
                <w:rFonts w:cs="Times New Roman"/>
                <w:b/>
                <w:color w:val="C00000"/>
                <w:sz w:val="32"/>
              </w:rPr>
              <w:t>IRB Form 6.1</w:t>
            </w:r>
            <w:r w:rsidRPr="00A143AA">
              <w:rPr>
                <w:rFonts w:cs="Times New Roman"/>
                <w:b/>
                <w:color w:val="C00000"/>
                <w:sz w:val="32"/>
              </w:rPr>
              <w:t xml:space="preserve"> </w:t>
            </w:r>
          </w:p>
          <w:p w:rsidR="00F030DD" w:rsidRDefault="003713CA" w:rsidP="00052D6B">
            <w:pPr>
              <w:pStyle w:val="NoSpacing"/>
              <w:jc w:val="right"/>
              <w:rPr>
                <w:rFonts w:cs="Times New Roman"/>
              </w:rPr>
            </w:pPr>
            <w:r w:rsidRPr="003713CA">
              <w:rPr>
                <w:rFonts w:cs="Times New Roman"/>
              </w:rPr>
              <w:t>HIPPA Data Use Agreement</w:t>
            </w:r>
            <w:r w:rsidR="00F030DD">
              <w:rPr>
                <w:rFonts w:cs="Times New Roman"/>
              </w:rPr>
              <w:t xml:space="preserve"> for </w:t>
            </w:r>
          </w:p>
          <w:p w:rsidR="003713CA" w:rsidRPr="00F70298" w:rsidRDefault="00F030DD" w:rsidP="00052D6B">
            <w:pPr>
              <w:pStyle w:val="NoSpacing"/>
              <w:jc w:val="right"/>
              <w:rPr>
                <w:rFonts w:cs="Times New Roman"/>
                <w:b/>
                <w:i/>
                <w:iCs/>
                <w:szCs w:val="24"/>
              </w:rPr>
            </w:pPr>
            <w:r>
              <w:rPr>
                <w:rFonts w:cs="Times New Roman"/>
              </w:rPr>
              <w:t>Research Purposes</w:t>
            </w:r>
          </w:p>
        </w:tc>
      </w:tr>
    </w:tbl>
    <w:p w:rsidR="00BE55BB" w:rsidRDefault="003713CA" w:rsidP="00022D5A">
      <w:pPr>
        <w:pStyle w:val="Title"/>
        <w:jc w:val="left"/>
        <w:rPr>
          <w:rFonts w:ascii="Goudy Old Style" w:hAnsi="Goudy Old Style"/>
          <w:b w:val="0"/>
          <w:sz w:val="22"/>
        </w:rPr>
      </w:pPr>
      <w:r w:rsidRPr="00940514">
        <w:rPr>
          <w:noProof/>
        </w:rPr>
        <mc:AlternateContent>
          <mc:Choice Requires="wps">
            <w:drawing>
              <wp:anchor distT="45720" distB="45720" distL="114300" distR="114300" simplePos="0" relativeHeight="251657728" behindDoc="0" locked="0" layoutInCell="1" allowOverlap="1" wp14:anchorId="3B819C62" wp14:editId="765938CF">
                <wp:simplePos x="0" y="0"/>
                <wp:positionH relativeFrom="margin">
                  <wp:posOffset>-47625</wp:posOffset>
                </wp:positionH>
                <wp:positionV relativeFrom="paragraph">
                  <wp:posOffset>144780</wp:posOffset>
                </wp:positionV>
                <wp:extent cx="6010275" cy="857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57250"/>
                        </a:xfrm>
                        <a:prstGeom prst="rect">
                          <a:avLst/>
                        </a:prstGeom>
                        <a:solidFill>
                          <a:schemeClr val="bg1">
                            <a:lumMod val="95000"/>
                          </a:schemeClr>
                        </a:solidFill>
                        <a:ln w="9525">
                          <a:noFill/>
                          <a:miter lim="800000"/>
                          <a:headEnd/>
                          <a:tailEnd/>
                        </a:ln>
                      </wps:spPr>
                      <wps:txbx>
                        <w:txbxContent>
                          <w:p w:rsidR="003713CA" w:rsidRPr="00B24230" w:rsidRDefault="003713CA" w:rsidP="003713CA">
                            <w:pPr>
                              <w:pStyle w:val="NoSpacing"/>
                              <w:jc w:val="both"/>
                              <w:rPr>
                                <w:sz w:val="20"/>
                                <w:szCs w:val="20"/>
                              </w:rPr>
                            </w:pPr>
                            <w:r w:rsidRPr="00B24230">
                              <w:rPr>
                                <w:b/>
                                <w:color w:val="C00000"/>
                                <w:sz w:val="20"/>
                                <w:szCs w:val="20"/>
                              </w:rPr>
                              <w:t>Note:</w:t>
                            </w:r>
                            <w:r w:rsidRPr="00B24230">
                              <w:rPr>
                                <w:sz w:val="20"/>
                                <w:szCs w:val="20"/>
                              </w:rPr>
                              <w:t xml:space="preserve"> </w:t>
                            </w:r>
                            <w:r w:rsidR="00022D5A" w:rsidRPr="00022D5A">
                              <w:rPr>
                                <w:spacing w:val="-1"/>
                                <w:sz w:val="20"/>
                                <w:szCs w:val="20"/>
                              </w:rPr>
                              <w:t xml:space="preserve">To acquire a </w:t>
                            </w:r>
                            <w:r w:rsidR="00D11780" w:rsidRPr="00022D5A">
                              <w:rPr>
                                <w:spacing w:val="-1"/>
                                <w:sz w:val="20"/>
                                <w:szCs w:val="20"/>
                              </w:rPr>
                              <w:t xml:space="preserve">limited data set </w:t>
                            </w:r>
                            <w:r w:rsidR="00022D5A" w:rsidRPr="00022D5A">
                              <w:rPr>
                                <w:spacing w:val="-1"/>
                                <w:sz w:val="20"/>
                                <w:szCs w:val="20"/>
                              </w:rPr>
                              <w:t>from a HIPAA covered entity, investigators must complete both the</w:t>
                            </w:r>
                            <w:r w:rsidR="00D11780" w:rsidRPr="00022D5A">
                              <w:rPr>
                                <w:spacing w:val="-1"/>
                                <w:sz w:val="20"/>
                                <w:szCs w:val="20"/>
                              </w:rPr>
                              <w:t xml:space="preserve"> limited data set form as well as a data use agreement</w:t>
                            </w:r>
                            <w:r w:rsidR="00022D5A" w:rsidRPr="00022D5A">
                              <w:rPr>
                                <w:spacing w:val="-1"/>
                                <w:sz w:val="20"/>
                                <w:szCs w:val="20"/>
                              </w:rPr>
                              <w:t xml:space="preserve">.  The </w:t>
                            </w:r>
                            <w:r w:rsidR="00D11780" w:rsidRPr="00022D5A">
                              <w:rPr>
                                <w:spacing w:val="-1"/>
                                <w:sz w:val="20"/>
                                <w:szCs w:val="20"/>
                              </w:rPr>
                              <w:t xml:space="preserve">data use agreement specifies how the limited data set can </w:t>
                            </w:r>
                            <w:r w:rsidR="00022D5A" w:rsidRPr="00022D5A">
                              <w:rPr>
                                <w:spacing w:val="-1"/>
                                <w:sz w:val="20"/>
                                <w:szCs w:val="20"/>
                              </w:rPr>
                              <w:t xml:space="preserve">be used and shared with others, and gives the covered entity the authority to terminate the investigator’s right to the data if the agreement is not followed.  The </w:t>
                            </w:r>
                            <w:r w:rsidR="00D11780" w:rsidRPr="00022D5A">
                              <w:rPr>
                                <w:spacing w:val="-1"/>
                                <w:sz w:val="20"/>
                                <w:szCs w:val="20"/>
                              </w:rPr>
                              <w:t xml:space="preserve">data use agreement </w:t>
                            </w:r>
                            <w:r w:rsidR="00022D5A" w:rsidRPr="00022D5A">
                              <w:rPr>
                                <w:spacing w:val="-1"/>
                                <w:sz w:val="20"/>
                                <w:szCs w:val="20"/>
                              </w:rPr>
                              <w:t>must be signed by the P.I. and a responsible representative of the information holder (“covered entity”).</w:t>
                            </w:r>
                          </w:p>
                          <w:p w:rsidR="003713CA" w:rsidRPr="009F6E12" w:rsidRDefault="003713CA" w:rsidP="003713CA">
                            <w:pPr>
                              <w:pStyle w:val="NoSpacing"/>
                              <w:ind w:right="15"/>
                              <w:jc w:val="both"/>
                              <w:rPr>
                                <w:rFonts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19C62" id="_x0000_t202" coordsize="21600,21600" o:spt="202" path="m,l,21600r21600,l21600,xe">
                <v:stroke joinstyle="miter"/>
                <v:path gradientshapeok="t" o:connecttype="rect"/>
              </v:shapetype>
              <v:shape id="Text Box 2" o:spid="_x0000_s1026" type="#_x0000_t202" style="position:absolute;margin-left:-3.75pt;margin-top:11.4pt;width:473.25pt;height:6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" fillcolor="#f2f2f2 [3052]" stroked="f">
                <v:textbox>
                  <w:txbxContent>
                    <w:p w:rsidR="003713CA" w:rsidRPr="00B24230" w:rsidRDefault="003713CA" w:rsidP="003713CA">
                      <w:pPr>
                        <w:pStyle w:val="NoSpacing"/>
                        <w:jc w:val="both"/>
                        <w:rPr>
                          <w:sz w:val="20"/>
                          <w:szCs w:val="20"/>
                        </w:rPr>
                      </w:pPr>
                      <w:r w:rsidRPr="00B24230">
                        <w:rPr>
                          <w:b/>
                          <w:color w:val="C00000"/>
                          <w:sz w:val="20"/>
                          <w:szCs w:val="20"/>
                        </w:rPr>
                        <w:t>Note:</w:t>
                      </w:r>
                      <w:r w:rsidRPr="00B24230">
                        <w:rPr>
                          <w:sz w:val="20"/>
                          <w:szCs w:val="20"/>
                        </w:rPr>
                        <w:t xml:space="preserve"> </w:t>
                      </w:r>
                      <w:r w:rsidR="00022D5A" w:rsidRPr="00022D5A">
                        <w:rPr>
                          <w:spacing w:val="-1"/>
                          <w:sz w:val="20"/>
                          <w:szCs w:val="20"/>
                        </w:rPr>
                        <w:t xml:space="preserve">To acquire a </w:t>
                      </w:r>
                      <w:r w:rsidR="00D11780" w:rsidRPr="00022D5A">
                        <w:rPr>
                          <w:spacing w:val="-1"/>
                          <w:sz w:val="20"/>
                          <w:szCs w:val="20"/>
                        </w:rPr>
                        <w:t xml:space="preserve">limited data set </w:t>
                      </w:r>
                      <w:r w:rsidR="00022D5A" w:rsidRPr="00022D5A">
                        <w:rPr>
                          <w:spacing w:val="-1"/>
                          <w:sz w:val="20"/>
                          <w:szCs w:val="20"/>
                        </w:rPr>
                        <w:t>from a HIPAA covered entity, investigators must complete both the</w:t>
                      </w:r>
                      <w:r w:rsidR="00D11780" w:rsidRPr="00022D5A">
                        <w:rPr>
                          <w:spacing w:val="-1"/>
                          <w:sz w:val="20"/>
                          <w:szCs w:val="20"/>
                        </w:rPr>
                        <w:t xml:space="preserve"> limited data set form as well as a data use agreement</w:t>
                      </w:r>
                      <w:r w:rsidR="00022D5A" w:rsidRPr="00022D5A">
                        <w:rPr>
                          <w:spacing w:val="-1"/>
                          <w:sz w:val="20"/>
                          <w:szCs w:val="20"/>
                        </w:rPr>
                        <w:t xml:space="preserve">.  The </w:t>
                      </w:r>
                      <w:r w:rsidR="00D11780" w:rsidRPr="00022D5A">
                        <w:rPr>
                          <w:spacing w:val="-1"/>
                          <w:sz w:val="20"/>
                          <w:szCs w:val="20"/>
                        </w:rPr>
                        <w:t xml:space="preserve">data use agreement specifies how the limited data set can </w:t>
                      </w:r>
                      <w:r w:rsidR="00022D5A" w:rsidRPr="00022D5A">
                        <w:rPr>
                          <w:spacing w:val="-1"/>
                          <w:sz w:val="20"/>
                          <w:szCs w:val="20"/>
                        </w:rPr>
                        <w:t xml:space="preserve">be used and shared with others, and gives the covered entity the authority to terminate the investigator’s right to the data if the agreement is not followed.  The </w:t>
                      </w:r>
                      <w:r w:rsidR="00D11780" w:rsidRPr="00022D5A">
                        <w:rPr>
                          <w:spacing w:val="-1"/>
                          <w:sz w:val="20"/>
                          <w:szCs w:val="20"/>
                        </w:rPr>
                        <w:t xml:space="preserve">data use agreement </w:t>
                      </w:r>
                      <w:r w:rsidR="00022D5A" w:rsidRPr="00022D5A">
                        <w:rPr>
                          <w:spacing w:val="-1"/>
                          <w:sz w:val="20"/>
                          <w:szCs w:val="20"/>
                        </w:rPr>
                        <w:t>must be signed by the P.I. and a responsible representative of the information holder (“covered entity”).</w:t>
                      </w:r>
                    </w:p>
                    <w:p w:rsidR="003713CA" w:rsidRPr="009F6E12" w:rsidRDefault="003713CA" w:rsidP="003713CA">
                      <w:pPr>
                        <w:pStyle w:val="NoSpacing"/>
                        <w:ind w:right="15"/>
                        <w:jc w:val="both"/>
                        <w:rPr>
                          <w:rFonts w:cs="Times New Roman"/>
                          <w:sz w:val="20"/>
                        </w:rPr>
                      </w:pPr>
                    </w:p>
                  </w:txbxContent>
                </v:textbox>
                <w10:wrap type="square" anchorx="margin"/>
              </v:shape>
            </w:pict>
          </mc:Fallback>
        </mc:AlternateContent>
      </w:r>
      <w:r w:rsidR="00BE55BB">
        <w:rPr>
          <w:sz w:val="22"/>
        </w:rPr>
        <w:t xml:space="preserve"> </w:t>
      </w:r>
      <w:r w:rsidR="00BE55BB">
        <w:rPr>
          <w:sz w:val="22"/>
        </w:rPr>
        <w:tab/>
      </w:r>
      <w:r w:rsidR="00BE55BB">
        <w:rPr>
          <w:sz w:val="22"/>
        </w:rPr>
        <w:tab/>
      </w:r>
      <w:r w:rsidR="00BE55BB">
        <w:rPr>
          <w:sz w:val="22"/>
        </w:rPr>
        <w:tab/>
      </w:r>
      <w:r w:rsidR="00BE55BB">
        <w:rPr>
          <w:sz w:val="22"/>
        </w:rPr>
        <w:tab/>
      </w:r>
      <w:r w:rsidR="00BE55BB">
        <w:rPr>
          <w:sz w:val="22"/>
        </w:rPr>
        <w:tab/>
      </w:r>
    </w:p>
    <w:p w:rsidR="00BE55BB" w:rsidRPr="00022D5A" w:rsidRDefault="00BE55BB" w:rsidP="00BE55BB">
      <w:pPr>
        <w:pStyle w:val="BodyText2"/>
        <w:rPr>
          <w:sz w:val="22"/>
        </w:rPr>
      </w:pPr>
      <w:r w:rsidRPr="00022D5A">
        <w:rPr>
          <w:sz w:val="22"/>
        </w:rPr>
        <w:t xml:space="preserve">This agreement is made by and between </w:t>
      </w:r>
      <w:r w:rsidR="0039312A">
        <w:rPr>
          <w:sz w:val="22"/>
        </w:rPr>
        <w:t xml:space="preserve">______ </w:t>
      </w:r>
      <w:r w:rsidRPr="00022D5A">
        <w:rPr>
          <w:i/>
          <w:iCs/>
          <w:color w:val="0000FF"/>
          <w:sz w:val="22"/>
        </w:rPr>
        <w:t>(NAME OF HOSPITAL</w:t>
      </w:r>
      <w:r w:rsidR="00D46632" w:rsidRPr="00022D5A">
        <w:rPr>
          <w:i/>
          <w:iCs/>
          <w:color w:val="0000FF"/>
          <w:sz w:val="22"/>
        </w:rPr>
        <w:t>/</w:t>
      </w:r>
      <w:r w:rsidRPr="00022D5A">
        <w:rPr>
          <w:i/>
          <w:iCs/>
          <w:color w:val="0000FF"/>
          <w:sz w:val="22"/>
        </w:rPr>
        <w:t>CLINIC WHO HOLDS THE HEALTH INFORMATION)</w:t>
      </w:r>
      <w:r w:rsidRPr="00022D5A">
        <w:rPr>
          <w:sz w:val="22"/>
        </w:rPr>
        <w:t xml:space="preserve"> ("Covered Entity”) and </w:t>
      </w:r>
      <w:r w:rsidR="0039312A">
        <w:rPr>
          <w:sz w:val="22"/>
        </w:rPr>
        <w:t>_______</w:t>
      </w:r>
      <w:r w:rsidRPr="00022D5A">
        <w:rPr>
          <w:i/>
          <w:iCs/>
          <w:color w:val="0000FF"/>
          <w:sz w:val="22"/>
        </w:rPr>
        <w:t>(NAME OF P.I.)</w:t>
      </w:r>
      <w:r w:rsidRPr="00022D5A">
        <w:rPr>
          <w:sz w:val="22"/>
        </w:rPr>
        <w:t xml:space="preserve"> (“Data Recipient")</w:t>
      </w:r>
      <w:r w:rsidR="0039312A">
        <w:rPr>
          <w:sz w:val="22"/>
        </w:rPr>
        <w:t>.</w:t>
      </w:r>
    </w:p>
    <w:p w:rsidR="00BE55BB" w:rsidRPr="00022D5A" w:rsidRDefault="00BE55BB" w:rsidP="00BE55BB">
      <w:pPr>
        <w:pStyle w:val="BodyText2"/>
        <w:rPr>
          <w:b/>
          <w:color w:val="000000"/>
          <w:sz w:val="22"/>
        </w:rPr>
      </w:pPr>
      <w:r w:rsidRPr="00022D5A">
        <w:rPr>
          <w:spacing w:val="-3"/>
          <w:sz w:val="22"/>
        </w:rPr>
        <w:t xml:space="preserve">Both parties are committed to complying with the </w:t>
      </w:r>
      <w:r w:rsidR="00185635" w:rsidRPr="00022D5A">
        <w:rPr>
          <w:spacing w:val="-3"/>
          <w:sz w:val="22"/>
        </w:rPr>
        <w:t xml:space="preserve">standards for privacy of individually identifiable health information </w:t>
      </w:r>
      <w:r w:rsidRPr="00022D5A">
        <w:rPr>
          <w:spacing w:val="-3"/>
          <w:sz w:val="22"/>
        </w:rPr>
        <w:t xml:space="preserve">(“Privacy Rule”) under HIPAA. This Agreement </w:t>
      </w:r>
      <w:r w:rsidRPr="00022D5A">
        <w:rPr>
          <w:sz w:val="22"/>
        </w:rPr>
        <w:t xml:space="preserve">sets forth the terms and conditions under which Protected Health Information </w:t>
      </w:r>
      <w:r w:rsidR="00185635">
        <w:rPr>
          <w:sz w:val="22"/>
        </w:rPr>
        <w:t xml:space="preserve">(PHI) </w:t>
      </w:r>
      <w:r w:rsidRPr="00022D5A">
        <w:rPr>
          <w:spacing w:val="-3"/>
          <w:sz w:val="22"/>
        </w:rPr>
        <w:t xml:space="preserve">that is provided by or received by  the </w:t>
      </w:r>
      <w:r w:rsidR="00185635" w:rsidRPr="00022D5A">
        <w:rPr>
          <w:spacing w:val="-3"/>
          <w:sz w:val="22"/>
        </w:rPr>
        <w:t>data r</w:t>
      </w:r>
      <w:r w:rsidRPr="00022D5A">
        <w:rPr>
          <w:spacing w:val="-3"/>
          <w:sz w:val="22"/>
        </w:rPr>
        <w:t xml:space="preserve">ecipient from or on behalf of the </w:t>
      </w:r>
      <w:r w:rsidR="00185635" w:rsidRPr="00022D5A">
        <w:rPr>
          <w:spacing w:val="-3"/>
          <w:sz w:val="22"/>
        </w:rPr>
        <w:t>covered e</w:t>
      </w:r>
      <w:r w:rsidRPr="00022D5A">
        <w:rPr>
          <w:spacing w:val="-3"/>
          <w:sz w:val="22"/>
        </w:rPr>
        <w:t xml:space="preserve">ntity </w:t>
      </w:r>
      <w:r w:rsidR="00185635">
        <w:rPr>
          <w:spacing w:val="-3"/>
          <w:sz w:val="22"/>
        </w:rPr>
        <w:t>(PHI</w:t>
      </w:r>
      <w:r w:rsidRPr="00022D5A">
        <w:rPr>
          <w:spacing w:val="-3"/>
          <w:sz w:val="22"/>
        </w:rPr>
        <w:t xml:space="preserve">), </w:t>
      </w:r>
      <w:r w:rsidRPr="00022D5A">
        <w:rPr>
          <w:sz w:val="22"/>
        </w:rPr>
        <w:t xml:space="preserve">will be handled between the </w:t>
      </w:r>
      <w:r w:rsidR="00185635" w:rsidRPr="00022D5A">
        <w:rPr>
          <w:sz w:val="22"/>
        </w:rPr>
        <w:t>data recipient and the covered entity and with third parties during the term of the  agreement and after its termination</w:t>
      </w:r>
      <w:r w:rsidRPr="00022D5A">
        <w:rPr>
          <w:sz w:val="22"/>
        </w:rPr>
        <w:t>.</w:t>
      </w:r>
    </w:p>
    <w:p w:rsidR="00BE55BB" w:rsidRPr="00022D5A" w:rsidRDefault="00BE55BB" w:rsidP="00BE55BB">
      <w:pPr>
        <w:ind w:firstLine="720"/>
        <w:rPr>
          <w:sz w:val="22"/>
        </w:rPr>
      </w:pPr>
    </w:p>
    <w:p w:rsidR="00D46632" w:rsidRPr="00022D5A" w:rsidRDefault="00BE55BB" w:rsidP="00D46632">
      <w:pPr>
        <w:rPr>
          <w:sz w:val="22"/>
        </w:rPr>
      </w:pPr>
      <w:r w:rsidRPr="00022D5A">
        <w:rPr>
          <w:sz w:val="22"/>
        </w:rPr>
        <w:t xml:space="preserve">The </w:t>
      </w:r>
      <w:r w:rsidR="004C19F4">
        <w:rPr>
          <w:sz w:val="22"/>
        </w:rPr>
        <w:t>p</w:t>
      </w:r>
      <w:r w:rsidRPr="00022D5A">
        <w:rPr>
          <w:sz w:val="22"/>
        </w:rPr>
        <w:t xml:space="preserve">arties agree </w:t>
      </w:r>
      <w:r w:rsidR="004C19F4">
        <w:rPr>
          <w:sz w:val="22"/>
        </w:rPr>
        <w:t>to the following terms</w:t>
      </w:r>
      <w:r w:rsidRPr="00022D5A">
        <w:rPr>
          <w:sz w:val="22"/>
        </w:rPr>
        <w:t>:</w:t>
      </w:r>
    </w:p>
    <w:p w:rsidR="00D46632" w:rsidRPr="00022D5A" w:rsidRDefault="00D46632" w:rsidP="00D46632">
      <w:pPr>
        <w:rPr>
          <w:sz w:val="22"/>
        </w:rPr>
      </w:pPr>
    </w:p>
    <w:p w:rsidR="00BE55BB" w:rsidRPr="0039312A" w:rsidRDefault="00BE55BB" w:rsidP="0039312A">
      <w:pPr>
        <w:pStyle w:val="ListParagraph"/>
        <w:numPr>
          <w:ilvl w:val="0"/>
          <w:numId w:val="1"/>
        </w:numPr>
        <w:rPr>
          <w:b/>
          <w:snapToGrid w:val="0"/>
          <w:sz w:val="22"/>
        </w:rPr>
      </w:pPr>
      <w:r w:rsidRPr="0039312A">
        <w:rPr>
          <w:b/>
          <w:snapToGrid w:val="0"/>
          <w:sz w:val="22"/>
        </w:rPr>
        <w:t>DEFINITIONS</w:t>
      </w:r>
    </w:p>
    <w:p w:rsidR="00BE55BB" w:rsidRPr="00022D5A" w:rsidRDefault="00BE55BB" w:rsidP="00BE55BB">
      <w:pPr>
        <w:numPr>
          <w:ilvl w:val="1"/>
          <w:numId w:val="1"/>
        </w:numPr>
        <w:jc w:val="both"/>
        <w:rPr>
          <w:sz w:val="22"/>
        </w:rPr>
      </w:pPr>
      <w:r w:rsidRPr="00022D5A">
        <w:rPr>
          <w:sz w:val="22"/>
          <w:u w:val="single"/>
        </w:rPr>
        <w:t>Protected Health Information</w:t>
      </w:r>
      <w:r w:rsidRPr="00022D5A">
        <w:rPr>
          <w:sz w:val="22"/>
        </w:rPr>
        <w:t xml:space="preserve">   shall have the same meaning as the term “protected health information” in 45 C.F.R. §164.501, limited to the information created or received </w:t>
      </w:r>
      <w:r w:rsidR="00185635" w:rsidRPr="00022D5A">
        <w:rPr>
          <w:sz w:val="22"/>
        </w:rPr>
        <w:t>by data recipient from or on behalf of covered entity</w:t>
      </w:r>
      <w:r w:rsidRPr="00022D5A">
        <w:rPr>
          <w:sz w:val="22"/>
        </w:rPr>
        <w:t>.</w:t>
      </w:r>
    </w:p>
    <w:p w:rsidR="00BE55BB" w:rsidRPr="00022D5A" w:rsidRDefault="00BE55BB" w:rsidP="00BE55BB">
      <w:pPr>
        <w:numPr>
          <w:ilvl w:val="1"/>
          <w:numId w:val="1"/>
        </w:numPr>
        <w:jc w:val="both"/>
        <w:rPr>
          <w:sz w:val="22"/>
        </w:rPr>
      </w:pPr>
      <w:r w:rsidRPr="00022D5A">
        <w:rPr>
          <w:sz w:val="22"/>
          <w:u w:val="single"/>
        </w:rPr>
        <w:t>Privacy Rule</w:t>
      </w:r>
      <w:r w:rsidRPr="00022D5A">
        <w:rPr>
          <w:sz w:val="22"/>
        </w:rPr>
        <w:t xml:space="preserve"> shall mean the </w:t>
      </w:r>
      <w:r w:rsidR="00185635" w:rsidRPr="00022D5A">
        <w:rPr>
          <w:sz w:val="22"/>
        </w:rPr>
        <w:t>standards f</w:t>
      </w:r>
      <w:r w:rsidRPr="00022D5A">
        <w:rPr>
          <w:sz w:val="22"/>
        </w:rPr>
        <w:t xml:space="preserve">or </w:t>
      </w:r>
      <w:r w:rsidR="00185635" w:rsidRPr="00022D5A">
        <w:rPr>
          <w:sz w:val="22"/>
        </w:rPr>
        <w:t>privacy of individually identifiable health inf</w:t>
      </w:r>
      <w:r w:rsidRPr="00022D5A">
        <w:rPr>
          <w:sz w:val="22"/>
        </w:rPr>
        <w:t>ormation at 45 C.F.R. part 160 and part 164, subparts A and E.</w:t>
      </w:r>
    </w:p>
    <w:p w:rsidR="00BE55BB" w:rsidRPr="00022D5A" w:rsidRDefault="00BE55BB" w:rsidP="00BE55BB">
      <w:pPr>
        <w:numPr>
          <w:ilvl w:val="1"/>
          <w:numId w:val="1"/>
        </w:numPr>
        <w:jc w:val="both"/>
        <w:rPr>
          <w:sz w:val="22"/>
        </w:rPr>
      </w:pPr>
      <w:r w:rsidRPr="00022D5A">
        <w:rPr>
          <w:sz w:val="22"/>
          <w:u w:val="single"/>
        </w:rPr>
        <w:t>Limited Data Set</w:t>
      </w:r>
      <w:r w:rsidRPr="00022D5A">
        <w:rPr>
          <w:sz w:val="22"/>
        </w:rPr>
        <w:t xml:space="preserve"> shall   have the same meaning as the term “limited data set” in 45 C.F.R. §164.514(e)(2). </w:t>
      </w:r>
    </w:p>
    <w:p w:rsidR="00BE55BB" w:rsidRPr="00022D5A" w:rsidRDefault="00BE55BB" w:rsidP="00BE55BB">
      <w:pPr>
        <w:numPr>
          <w:ilvl w:val="1"/>
          <w:numId w:val="1"/>
        </w:numPr>
        <w:rPr>
          <w:sz w:val="22"/>
        </w:rPr>
      </w:pPr>
      <w:r w:rsidRPr="00022D5A">
        <w:rPr>
          <w:sz w:val="22"/>
          <w:u w:val="single"/>
        </w:rPr>
        <w:t xml:space="preserve">Secretary </w:t>
      </w:r>
      <w:r w:rsidRPr="00022D5A">
        <w:rPr>
          <w:sz w:val="22"/>
        </w:rPr>
        <w:t xml:space="preserve">shall mean the </w:t>
      </w:r>
      <w:r w:rsidR="00185635">
        <w:rPr>
          <w:sz w:val="22"/>
        </w:rPr>
        <w:t>s</w:t>
      </w:r>
      <w:r w:rsidRPr="00022D5A">
        <w:rPr>
          <w:sz w:val="22"/>
        </w:rPr>
        <w:t xml:space="preserve">ecretary of the Department of Health and Human Services </w:t>
      </w:r>
      <w:r w:rsidR="00D11780">
        <w:rPr>
          <w:sz w:val="22"/>
        </w:rPr>
        <w:t xml:space="preserve">(DHSS) </w:t>
      </w:r>
      <w:r w:rsidRPr="00022D5A">
        <w:rPr>
          <w:sz w:val="22"/>
        </w:rPr>
        <w:t>or his/her designee</w:t>
      </w:r>
      <w:r w:rsidR="00D11780">
        <w:rPr>
          <w:sz w:val="22"/>
        </w:rPr>
        <w:t>.</w:t>
      </w:r>
    </w:p>
    <w:p w:rsidR="00BE55BB" w:rsidRPr="00022D5A" w:rsidRDefault="00BE55BB" w:rsidP="00BE55BB">
      <w:pPr>
        <w:numPr>
          <w:ilvl w:val="1"/>
          <w:numId w:val="1"/>
        </w:numPr>
        <w:rPr>
          <w:sz w:val="22"/>
        </w:rPr>
      </w:pPr>
      <w:r w:rsidRPr="00022D5A">
        <w:rPr>
          <w:sz w:val="22"/>
        </w:rPr>
        <w:t>Terms used, but not otherwise defined, in this Agreement shall have the same meaning as those terms in the Privacy Rule.</w:t>
      </w:r>
    </w:p>
    <w:p w:rsidR="0039312A" w:rsidRDefault="0039312A" w:rsidP="0039312A">
      <w:pPr>
        <w:rPr>
          <w:snapToGrid w:val="0"/>
        </w:rPr>
      </w:pPr>
    </w:p>
    <w:p w:rsidR="00BE55BB" w:rsidRPr="0039312A" w:rsidRDefault="0039312A" w:rsidP="0039312A">
      <w:pPr>
        <w:pStyle w:val="ListParagraph"/>
        <w:numPr>
          <w:ilvl w:val="0"/>
          <w:numId w:val="1"/>
        </w:numPr>
        <w:rPr>
          <w:b/>
          <w:snapToGrid w:val="0"/>
        </w:rPr>
      </w:pPr>
      <w:r w:rsidRPr="0039312A">
        <w:rPr>
          <w:b/>
          <w:snapToGrid w:val="0"/>
        </w:rPr>
        <w:t>PURPOSE</w:t>
      </w:r>
    </w:p>
    <w:p w:rsidR="00BE55BB" w:rsidRPr="00022D5A" w:rsidRDefault="00BE55BB" w:rsidP="00BE55BB">
      <w:pPr>
        <w:pStyle w:val="BodyText3"/>
        <w:ind w:left="360"/>
        <w:rPr>
          <w:snapToGrid w:val="0"/>
        </w:rPr>
      </w:pPr>
      <w:r w:rsidRPr="00022D5A">
        <w:rPr>
          <w:snapToGrid w:val="0"/>
        </w:rPr>
        <w:t xml:space="preserve">Data </w:t>
      </w:r>
      <w:r w:rsidR="004C19F4">
        <w:rPr>
          <w:snapToGrid w:val="0"/>
        </w:rPr>
        <w:t>r</w:t>
      </w:r>
      <w:r w:rsidRPr="00022D5A">
        <w:rPr>
          <w:snapToGrid w:val="0"/>
        </w:rPr>
        <w:t xml:space="preserve">ecipient represents that s/he will </w:t>
      </w:r>
      <w:r w:rsidR="0039312A">
        <w:rPr>
          <w:snapToGrid w:val="0"/>
        </w:rPr>
        <w:t>use h</w:t>
      </w:r>
      <w:r w:rsidRPr="00022D5A">
        <w:rPr>
          <w:snapToGrid w:val="0"/>
        </w:rPr>
        <w:t>ealth information for RESEARCH purposes</w:t>
      </w:r>
      <w:r w:rsidR="004C19F4">
        <w:rPr>
          <w:snapToGrid w:val="0"/>
        </w:rPr>
        <w:t xml:space="preserve"> only</w:t>
      </w:r>
      <w:r w:rsidRPr="00022D5A">
        <w:rPr>
          <w:snapToGrid w:val="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610"/>
        <w:gridCol w:w="3330"/>
        <w:gridCol w:w="2070"/>
      </w:tblGrid>
      <w:tr w:rsidR="0039312A" w:rsidTr="005A4CF9">
        <w:tc>
          <w:tcPr>
            <w:tcW w:w="468" w:type="dxa"/>
          </w:tcPr>
          <w:p w:rsidR="0039312A" w:rsidRDefault="0039312A" w:rsidP="00BE55BB">
            <w:pPr>
              <w:pStyle w:val="BodyTextIndent"/>
              <w:ind w:left="0"/>
            </w:pPr>
          </w:p>
        </w:tc>
        <w:tc>
          <w:tcPr>
            <w:tcW w:w="2610" w:type="dxa"/>
          </w:tcPr>
          <w:p w:rsidR="0039312A" w:rsidRDefault="005A4CF9" w:rsidP="00BE55BB">
            <w:pPr>
              <w:pStyle w:val="BodyTextIndent"/>
              <w:ind w:left="0"/>
            </w:pPr>
            <w:r>
              <w:t xml:space="preserve">Research (Protocol) Title: </w:t>
            </w:r>
          </w:p>
        </w:tc>
        <w:tc>
          <w:tcPr>
            <w:tcW w:w="5400" w:type="dxa"/>
            <w:gridSpan w:val="2"/>
            <w:tcBorders>
              <w:bottom w:val="single" w:sz="4" w:space="0" w:color="auto"/>
            </w:tcBorders>
          </w:tcPr>
          <w:p w:rsidR="0039312A" w:rsidRPr="005A4CF9" w:rsidRDefault="0039312A" w:rsidP="00BE55BB">
            <w:pPr>
              <w:pStyle w:val="BodyTextIndent"/>
              <w:ind w:left="0"/>
              <w:rPr>
                <w:i w:val="0"/>
              </w:rPr>
            </w:pPr>
          </w:p>
        </w:tc>
      </w:tr>
      <w:tr w:rsidR="005A4CF9" w:rsidTr="005A4CF9">
        <w:tc>
          <w:tcPr>
            <w:tcW w:w="468" w:type="dxa"/>
          </w:tcPr>
          <w:p w:rsidR="005A4CF9" w:rsidRDefault="005A4CF9" w:rsidP="00BE55BB">
            <w:pPr>
              <w:pStyle w:val="BodyTextIndent"/>
              <w:ind w:left="0"/>
            </w:pPr>
          </w:p>
        </w:tc>
        <w:tc>
          <w:tcPr>
            <w:tcW w:w="2610" w:type="dxa"/>
          </w:tcPr>
          <w:p w:rsidR="005A4CF9" w:rsidRDefault="005A4CF9" w:rsidP="00BE55BB">
            <w:pPr>
              <w:pStyle w:val="BodyTextIndent"/>
              <w:ind w:left="0"/>
            </w:pPr>
            <w:r>
              <w:t>IRB Number:</w:t>
            </w:r>
          </w:p>
        </w:tc>
        <w:tc>
          <w:tcPr>
            <w:tcW w:w="3330" w:type="dxa"/>
            <w:tcBorders>
              <w:top w:val="single" w:sz="4" w:space="0" w:color="auto"/>
              <w:bottom w:val="single" w:sz="4" w:space="0" w:color="auto"/>
            </w:tcBorders>
          </w:tcPr>
          <w:p w:rsidR="005A4CF9" w:rsidRPr="005A4CF9" w:rsidRDefault="005A4CF9" w:rsidP="00BE55BB">
            <w:pPr>
              <w:pStyle w:val="BodyTextIndent"/>
              <w:ind w:left="0"/>
              <w:rPr>
                <w:i w:val="0"/>
              </w:rPr>
            </w:pPr>
          </w:p>
        </w:tc>
        <w:tc>
          <w:tcPr>
            <w:tcW w:w="2070" w:type="dxa"/>
            <w:tcBorders>
              <w:top w:val="single" w:sz="4" w:space="0" w:color="auto"/>
            </w:tcBorders>
          </w:tcPr>
          <w:p w:rsidR="005A4CF9" w:rsidRDefault="005A4CF9" w:rsidP="00BE55BB">
            <w:pPr>
              <w:pStyle w:val="BodyTextIndent"/>
              <w:ind w:left="0"/>
            </w:pPr>
          </w:p>
        </w:tc>
      </w:tr>
    </w:tbl>
    <w:p w:rsidR="00BE55BB" w:rsidRPr="00022D5A" w:rsidRDefault="00BE55BB" w:rsidP="00BE55BB">
      <w:pPr>
        <w:rPr>
          <w:sz w:val="22"/>
        </w:rPr>
      </w:pPr>
    </w:p>
    <w:p w:rsidR="00BE55BB" w:rsidRPr="00022D5A" w:rsidRDefault="00BE55BB" w:rsidP="00BE55BB">
      <w:pPr>
        <w:numPr>
          <w:ilvl w:val="0"/>
          <w:numId w:val="1"/>
        </w:numPr>
        <w:rPr>
          <w:sz w:val="22"/>
        </w:rPr>
      </w:pPr>
      <w:r w:rsidRPr="00022D5A">
        <w:rPr>
          <w:b/>
          <w:sz w:val="22"/>
        </w:rPr>
        <w:t>OBLIGATIONS OF COVERED ENTITY</w:t>
      </w:r>
    </w:p>
    <w:p w:rsidR="00BE55BB" w:rsidRPr="00022D5A" w:rsidRDefault="00BE55BB" w:rsidP="00BE55BB">
      <w:pPr>
        <w:ind w:left="360"/>
        <w:jc w:val="both"/>
        <w:rPr>
          <w:sz w:val="22"/>
        </w:rPr>
      </w:pPr>
      <w:r w:rsidRPr="00022D5A">
        <w:rPr>
          <w:sz w:val="22"/>
        </w:rPr>
        <w:t xml:space="preserve">Covered </w:t>
      </w:r>
      <w:r w:rsidR="004C19F4" w:rsidRPr="00022D5A">
        <w:rPr>
          <w:sz w:val="22"/>
        </w:rPr>
        <w:t xml:space="preserve">entity shall disclose to data recipient a limited data set of </w:t>
      </w:r>
      <w:r w:rsidR="004C19F4">
        <w:rPr>
          <w:sz w:val="22"/>
        </w:rPr>
        <w:t>protected health i</w:t>
      </w:r>
      <w:r w:rsidRPr="00022D5A">
        <w:rPr>
          <w:sz w:val="22"/>
        </w:rPr>
        <w:t>nformation</w:t>
      </w:r>
      <w:r w:rsidR="004C19F4">
        <w:rPr>
          <w:sz w:val="22"/>
        </w:rPr>
        <w:t xml:space="preserve"> (PHI)</w:t>
      </w:r>
      <w:r w:rsidRPr="00022D5A">
        <w:rPr>
          <w:sz w:val="22"/>
        </w:rPr>
        <w:t>.</w:t>
      </w:r>
    </w:p>
    <w:p w:rsidR="00BE55BB" w:rsidRPr="00022D5A" w:rsidRDefault="00BE55BB" w:rsidP="00BE55BB">
      <w:pPr>
        <w:rPr>
          <w:sz w:val="22"/>
        </w:rPr>
      </w:pPr>
    </w:p>
    <w:p w:rsidR="00BE55BB" w:rsidRPr="00022D5A" w:rsidRDefault="00BE55BB" w:rsidP="00BE55BB">
      <w:pPr>
        <w:numPr>
          <w:ilvl w:val="0"/>
          <w:numId w:val="1"/>
        </w:numPr>
        <w:rPr>
          <w:sz w:val="22"/>
        </w:rPr>
      </w:pPr>
      <w:r w:rsidRPr="00022D5A">
        <w:rPr>
          <w:b/>
          <w:sz w:val="22"/>
        </w:rPr>
        <w:t>OBLIGATIONS AND ACTIVITIES OF DATA RECIPIENT</w:t>
      </w:r>
    </w:p>
    <w:p w:rsidR="00BE55BB" w:rsidRPr="00022D5A" w:rsidRDefault="00BE55BB" w:rsidP="00BE55BB">
      <w:pPr>
        <w:numPr>
          <w:ilvl w:val="1"/>
          <w:numId w:val="1"/>
        </w:numPr>
        <w:jc w:val="both"/>
        <w:rPr>
          <w:sz w:val="22"/>
        </w:rPr>
      </w:pPr>
      <w:r w:rsidRPr="00022D5A">
        <w:rPr>
          <w:sz w:val="22"/>
        </w:rPr>
        <w:t xml:space="preserve">Data </w:t>
      </w:r>
      <w:r w:rsidR="004C19F4" w:rsidRPr="00022D5A">
        <w:rPr>
          <w:sz w:val="22"/>
        </w:rPr>
        <w:t>recipient agrees to not use or disclose the limited data set other than as permitted or required by the agreement or as required by law</w:t>
      </w:r>
      <w:r w:rsidRPr="00022D5A">
        <w:rPr>
          <w:sz w:val="22"/>
        </w:rPr>
        <w:t>.</w:t>
      </w:r>
    </w:p>
    <w:p w:rsidR="00BE55BB" w:rsidRPr="00022D5A" w:rsidRDefault="00BE55BB" w:rsidP="00BE55BB">
      <w:pPr>
        <w:numPr>
          <w:ilvl w:val="1"/>
          <w:numId w:val="1"/>
        </w:numPr>
        <w:jc w:val="both"/>
        <w:rPr>
          <w:sz w:val="22"/>
        </w:rPr>
      </w:pPr>
      <w:r w:rsidRPr="00022D5A">
        <w:rPr>
          <w:sz w:val="22"/>
        </w:rPr>
        <w:t xml:space="preserve">Data </w:t>
      </w:r>
      <w:r w:rsidR="00185635" w:rsidRPr="00022D5A">
        <w:rPr>
          <w:sz w:val="22"/>
        </w:rPr>
        <w:t>recipient agrees to use appropriate safeguards to prevent use or disclosure of the limited data set other than as provided for by this agreement</w:t>
      </w:r>
      <w:r w:rsidRPr="00022D5A">
        <w:rPr>
          <w:sz w:val="22"/>
        </w:rPr>
        <w:t>.</w:t>
      </w:r>
    </w:p>
    <w:p w:rsidR="00BE55BB" w:rsidRPr="00022D5A" w:rsidRDefault="00BE55BB" w:rsidP="00BE55BB">
      <w:pPr>
        <w:numPr>
          <w:ilvl w:val="1"/>
          <w:numId w:val="1"/>
        </w:numPr>
        <w:tabs>
          <w:tab w:val="clear" w:pos="720"/>
        </w:tabs>
        <w:jc w:val="both"/>
        <w:rPr>
          <w:sz w:val="22"/>
        </w:rPr>
      </w:pPr>
      <w:r w:rsidRPr="00022D5A">
        <w:rPr>
          <w:sz w:val="22"/>
        </w:rPr>
        <w:lastRenderedPageBreak/>
        <w:t xml:space="preserve">Data </w:t>
      </w:r>
      <w:r w:rsidR="00185635" w:rsidRPr="00022D5A">
        <w:rPr>
          <w:sz w:val="22"/>
        </w:rPr>
        <w:t xml:space="preserve">recipient agrees to report to covered entity any use or disclosure of the limited data set not provided for by this agreement of which it becomes </w:t>
      </w:r>
      <w:r w:rsidRPr="00022D5A">
        <w:rPr>
          <w:sz w:val="22"/>
        </w:rPr>
        <w:t>aware.</w:t>
      </w:r>
    </w:p>
    <w:p w:rsidR="00BE55BB" w:rsidRPr="00022D5A" w:rsidRDefault="00BE55BB" w:rsidP="00BE55BB">
      <w:pPr>
        <w:numPr>
          <w:ilvl w:val="1"/>
          <w:numId w:val="1"/>
        </w:numPr>
        <w:tabs>
          <w:tab w:val="clear" w:pos="720"/>
        </w:tabs>
        <w:jc w:val="both"/>
        <w:rPr>
          <w:sz w:val="22"/>
        </w:rPr>
      </w:pPr>
      <w:r w:rsidRPr="00022D5A">
        <w:rPr>
          <w:sz w:val="22"/>
        </w:rPr>
        <w:t xml:space="preserve">Data </w:t>
      </w:r>
      <w:r w:rsidR="00185635" w:rsidRPr="00022D5A">
        <w:rPr>
          <w:sz w:val="22"/>
        </w:rPr>
        <w:t xml:space="preserve">recipient agrees to ensure that any agent, including a subcontractor, to whom it provides the limited data set received from covered entity agrees </w:t>
      </w:r>
      <w:r w:rsidRPr="00022D5A">
        <w:rPr>
          <w:sz w:val="22"/>
        </w:rPr>
        <w:t xml:space="preserve">to the same restrictions and conditions that apply through </w:t>
      </w:r>
      <w:r w:rsidR="00185635" w:rsidRPr="00022D5A">
        <w:rPr>
          <w:sz w:val="22"/>
        </w:rPr>
        <w:t xml:space="preserve">this agreement to data recipient </w:t>
      </w:r>
      <w:r w:rsidRPr="00022D5A">
        <w:rPr>
          <w:sz w:val="22"/>
        </w:rPr>
        <w:t>with respect to such information.</w:t>
      </w:r>
    </w:p>
    <w:p w:rsidR="00BE55BB" w:rsidRPr="00022D5A" w:rsidRDefault="00BE55BB" w:rsidP="00BE55BB">
      <w:pPr>
        <w:numPr>
          <w:ilvl w:val="1"/>
          <w:numId w:val="1"/>
        </w:numPr>
        <w:tabs>
          <w:tab w:val="clear" w:pos="720"/>
        </w:tabs>
        <w:jc w:val="both"/>
        <w:rPr>
          <w:sz w:val="22"/>
        </w:rPr>
      </w:pPr>
      <w:r w:rsidRPr="00022D5A">
        <w:t xml:space="preserve">Data </w:t>
      </w:r>
      <w:r w:rsidR="00185635" w:rsidRPr="00022D5A">
        <w:t xml:space="preserve">recipient agrees </w:t>
      </w:r>
      <w:r w:rsidRPr="00022D5A">
        <w:t>not to identify the information or contact the individuals</w:t>
      </w:r>
    </w:p>
    <w:p w:rsidR="00BE55BB" w:rsidRPr="00022D5A" w:rsidRDefault="00BE55BB" w:rsidP="00BE55BB">
      <w:pPr>
        <w:rPr>
          <w:sz w:val="22"/>
        </w:rPr>
      </w:pPr>
    </w:p>
    <w:p w:rsidR="00BE55BB" w:rsidRPr="00022D5A" w:rsidRDefault="00BE55BB" w:rsidP="00BE55BB">
      <w:pPr>
        <w:numPr>
          <w:ilvl w:val="0"/>
          <w:numId w:val="1"/>
        </w:numPr>
        <w:jc w:val="both"/>
        <w:rPr>
          <w:b/>
          <w:sz w:val="22"/>
        </w:rPr>
      </w:pPr>
      <w:r w:rsidRPr="00022D5A">
        <w:rPr>
          <w:b/>
          <w:sz w:val="22"/>
        </w:rPr>
        <w:t xml:space="preserve">WHO MAY </w:t>
      </w:r>
      <w:r w:rsidRPr="00022D5A">
        <w:rPr>
          <w:b/>
          <w:caps/>
          <w:sz w:val="22"/>
        </w:rPr>
        <w:t>RECEIVE</w:t>
      </w:r>
      <w:r w:rsidRPr="00022D5A">
        <w:rPr>
          <w:b/>
          <w:sz w:val="22"/>
        </w:rPr>
        <w:t xml:space="preserve"> LIMITED DATA SET</w:t>
      </w:r>
    </w:p>
    <w:p w:rsidR="00BE55BB" w:rsidRPr="00022D5A" w:rsidRDefault="00BE55BB" w:rsidP="00BE55BB">
      <w:pPr>
        <w:pStyle w:val="BodyText2"/>
        <w:ind w:left="360"/>
      </w:pPr>
      <w:r w:rsidRPr="00022D5A">
        <w:t xml:space="preserve">Data </w:t>
      </w:r>
      <w:r w:rsidR="00185635" w:rsidRPr="00022D5A">
        <w:t>recipient, and any of his/her agents, including a subcontractor, to whom they provide limited data set information received from covered entity, provided they agree to the restrictions and conditions that apply through this agreement with respect to such informatio</w:t>
      </w:r>
      <w:r w:rsidRPr="00022D5A">
        <w:t>n.</w:t>
      </w:r>
    </w:p>
    <w:p w:rsidR="00BE55BB" w:rsidRPr="00022D5A" w:rsidRDefault="00BE55BB" w:rsidP="00BE55BB">
      <w:pPr>
        <w:ind w:left="360"/>
        <w:jc w:val="both"/>
        <w:rPr>
          <w:sz w:val="22"/>
        </w:rPr>
      </w:pPr>
    </w:p>
    <w:p w:rsidR="00BE55BB" w:rsidRPr="00022D5A" w:rsidRDefault="00BE55BB" w:rsidP="00BE55BB">
      <w:pPr>
        <w:numPr>
          <w:ilvl w:val="0"/>
          <w:numId w:val="1"/>
        </w:numPr>
        <w:jc w:val="both"/>
        <w:rPr>
          <w:caps/>
          <w:sz w:val="22"/>
        </w:rPr>
      </w:pPr>
      <w:r w:rsidRPr="00022D5A">
        <w:rPr>
          <w:b/>
          <w:caps/>
          <w:sz w:val="22"/>
        </w:rPr>
        <w:t>Permitted Uses and Disclosures by Data Recipient</w:t>
      </w:r>
    </w:p>
    <w:p w:rsidR="00BE55BB" w:rsidRPr="00022D5A" w:rsidRDefault="00BE55BB" w:rsidP="00BE55BB">
      <w:pPr>
        <w:numPr>
          <w:ilvl w:val="1"/>
          <w:numId w:val="1"/>
        </w:numPr>
        <w:jc w:val="both"/>
        <w:rPr>
          <w:sz w:val="22"/>
        </w:rPr>
      </w:pPr>
      <w:r w:rsidRPr="00022D5A">
        <w:rPr>
          <w:sz w:val="22"/>
        </w:rPr>
        <w:t xml:space="preserve">Except as </w:t>
      </w:r>
      <w:r w:rsidR="00185635" w:rsidRPr="00022D5A">
        <w:rPr>
          <w:sz w:val="22"/>
        </w:rPr>
        <w:t>otherwise limited in this agreement, data recipient may use or disclose limited data set to perform research functions, activities, or services</w:t>
      </w:r>
      <w:r w:rsidR="00185635" w:rsidRPr="00022D5A">
        <w:rPr>
          <w:b/>
          <w:color w:val="0000FF"/>
          <w:sz w:val="22"/>
        </w:rPr>
        <w:t xml:space="preserve"> </w:t>
      </w:r>
      <w:r w:rsidR="00185635" w:rsidRPr="00022D5A">
        <w:rPr>
          <w:sz w:val="22"/>
        </w:rPr>
        <w:t xml:space="preserve">provided that such use or disclosure would not violate the </w:t>
      </w:r>
      <w:r w:rsidRPr="00022D5A">
        <w:rPr>
          <w:sz w:val="22"/>
        </w:rPr>
        <w:t xml:space="preserve">Privacy Rule if done by </w:t>
      </w:r>
      <w:r w:rsidR="00185635" w:rsidRPr="00022D5A">
        <w:rPr>
          <w:sz w:val="22"/>
        </w:rPr>
        <w:t>covered e</w:t>
      </w:r>
      <w:r w:rsidRPr="00022D5A">
        <w:rPr>
          <w:sz w:val="22"/>
        </w:rPr>
        <w:t xml:space="preserve">ntity. </w:t>
      </w:r>
    </w:p>
    <w:p w:rsidR="00BE55BB" w:rsidRPr="00022D5A" w:rsidRDefault="00BE55BB" w:rsidP="00BE55BB">
      <w:pPr>
        <w:numPr>
          <w:ilvl w:val="1"/>
          <w:numId w:val="1"/>
        </w:numPr>
        <w:jc w:val="both"/>
        <w:rPr>
          <w:sz w:val="22"/>
        </w:rPr>
      </w:pPr>
      <w:r w:rsidRPr="00022D5A">
        <w:rPr>
          <w:sz w:val="22"/>
        </w:rPr>
        <w:t xml:space="preserve">With permission of the </w:t>
      </w:r>
      <w:r w:rsidR="00185635">
        <w:rPr>
          <w:sz w:val="22"/>
        </w:rPr>
        <w:t>UNG Institutional Review Board, data r</w:t>
      </w:r>
      <w:r w:rsidRPr="00022D5A">
        <w:rPr>
          <w:sz w:val="22"/>
        </w:rPr>
        <w:t>ecipient may de-identify any and al</w:t>
      </w:r>
      <w:r w:rsidR="005A4CF9">
        <w:rPr>
          <w:sz w:val="22"/>
        </w:rPr>
        <w:t xml:space="preserve">l </w:t>
      </w:r>
      <w:r w:rsidR="00185635">
        <w:rPr>
          <w:sz w:val="22"/>
        </w:rPr>
        <w:t>PHI</w:t>
      </w:r>
      <w:r w:rsidR="005A4CF9">
        <w:rPr>
          <w:sz w:val="22"/>
        </w:rPr>
        <w:t xml:space="preserve"> </w:t>
      </w:r>
      <w:r w:rsidRPr="00022D5A">
        <w:rPr>
          <w:sz w:val="22"/>
        </w:rPr>
        <w:t xml:space="preserve">received by </w:t>
      </w:r>
      <w:r w:rsidR="00185635" w:rsidRPr="00022D5A">
        <w:rPr>
          <w:sz w:val="22"/>
        </w:rPr>
        <w:t xml:space="preserve">data recipient under this agreement; provided, however, that the de-identification conforms to the requirements of </w:t>
      </w:r>
      <w:r w:rsidRPr="00022D5A">
        <w:rPr>
          <w:sz w:val="22"/>
        </w:rPr>
        <w:t xml:space="preserve">the Privacy Rule. Such resulting de-identified information would not be subject to the terms of </w:t>
      </w:r>
      <w:r w:rsidR="00185635" w:rsidRPr="00022D5A">
        <w:rPr>
          <w:sz w:val="22"/>
        </w:rPr>
        <w:t>this a</w:t>
      </w:r>
      <w:r w:rsidRPr="00022D5A">
        <w:rPr>
          <w:sz w:val="22"/>
        </w:rPr>
        <w:t>greement.</w:t>
      </w:r>
    </w:p>
    <w:p w:rsidR="00BE55BB" w:rsidRPr="00022D5A" w:rsidRDefault="00BE55BB" w:rsidP="00BE55BB">
      <w:pPr>
        <w:ind w:left="360"/>
        <w:rPr>
          <w:sz w:val="22"/>
        </w:rPr>
      </w:pPr>
    </w:p>
    <w:p w:rsidR="00BE55BB" w:rsidRPr="00022D5A" w:rsidRDefault="00BE55BB" w:rsidP="00BE55BB">
      <w:pPr>
        <w:numPr>
          <w:ilvl w:val="0"/>
          <w:numId w:val="1"/>
        </w:numPr>
        <w:rPr>
          <w:b/>
          <w:sz w:val="22"/>
        </w:rPr>
      </w:pPr>
      <w:r w:rsidRPr="00022D5A">
        <w:rPr>
          <w:b/>
          <w:sz w:val="22"/>
        </w:rPr>
        <w:t>PERMISSIBLE REQUESTS BY COVERED ENTITY</w:t>
      </w:r>
    </w:p>
    <w:p w:rsidR="00BE55BB" w:rsidRPr="00022D5A" w:rsidRDefault="00BE55BB" w:rsidP="00BE55BB">
      <w:pPr>
        <w:pStyle w:val="BodyText2"/>
        <w:ind w:left="360"/>
        <w:rPr>
          <w:sz w:val="22"/>
        </w:rPr>
      </w:pPr>
      <w:r w:rsidRPr="00022D5A">
        <w:rPr>
          <w:sz w:val="22"/>
        </w:rPr>
        <w:t xml:space="preserve">Covered </w:t>
      </w:r>
      <w:r w:rsidR="00F030DD" w:rsidRPr="00022D5A">
        <w:rPr>
          <w:sz w:val="22"/>
        </w:rPr>
        <w:t xml:space="preserve">entity shall not request data recipient to use or disclose limited data set in </w:t>
      </w:r>
      <w:r w:rsidRPr="00022D5A">
        <w:rPr>
          <w:sz w:val="22"/>
        </w:rPr>
        <w:t xml:space="preserve">any manner that would not be permissible under the Privacy Rule if done </w:t>
      </w:r>
      <w:r w:rsidR="00F030DD" w:rsidRPr="00022D5A">
        <w:rPr>
          <w:sz w:val="22"/>
        </w:rPr>
        <w:t>by covered entity</w:t>
      </w:r>
      <w:r w:rsidRPr="00022D5A">
        <w:rPr>
          <w:sz w:val="22"/>
        </w:rPr>
        <w:t>.</w:t>
      </w:r>
    </w:p>
    <w:p w:rsidR="00BE55BB" w:rsidRPr="00022D5A" w:rsidRDefault="00BE55BB" w:rsidP="00BE55BB">
      <w:pPr>
        <w:rPr>
          <w:sz w:val="22"/>
        </w:rPr>
      </w:pPr>
    </w:p>
    <w:p w:rsidR="00BE55BB" w:rsidRPr="00022D5A" w:rsidRDefault="00BE55BB" w:rsidP="00BE55BB">
      <w:pPr>
        <w:numPr>
          <w:ilvl w:val="0"/>
          <w:numId w:val="1"/>
        </w:numPr>
        <w:rPr>
          <w:b/>
          <w:caps/>
          <w:sz w:val="22"/>
        </w:rPr>
      </w:pPr>
      <w:r w:rsidRPr="00022D5A">
        <w:rPr>
          <w:b/>
          <w:caps/>
          <w:sz w:val="22"/>
        </w:rPr>
        <w:t xml:space="preserve">Term and </w:t>
      </w:r>
      <w:r w:rsidRPr="00022D5A">
        <w:rPr>
          <w:b/>
          <w:sz w:val="22"/>
        </w:rPr>
        <w:t>TERMINATION</w:t>
      </w:r>
    </w:p>
    <w:p w:rsidR="00BE55BB" w:rsidRPr="00022D5A" w:rsidRDefault="00BE55BB" w:rsidP="00BE55BB">
      <w:pPr>
        <w:numPr>
          <w:ilvl w:val="1"/>
          <w:numId w:val="1"/>
        </w:numPr>
        <w:jc w:val="both"/>
        <w:rPr>
          <w:sz w:val="22"/>
        </w:rPr>
      </w:pPr>
      <w:r w:rsidRPr="00022D5A">
        <w:rPr>
          <w:b/>
          <w:sz w:val="22"/>
          <w:u w:val="single"/>
        </w:rPr>
        <w:t>Term</w:t>
      </w:r>
      <w:r w:rsidRPr="00022D5A">
        <w:rPr>
          <w:sz w:val="22"/>
        </w:rPr>
        <w:t xml:space="preserve">. The </w:t>
      </w:r>
      <w:r w:rsidR="00F030DD" w:rsidRPr="00022D5A">
        <w:rPr>
          <w:sz w:val="22"/>
        </w:rPr>
        <w:t xml:space="preserve">term of this agreement </w:t>
      </w:r>
      <w:r w:rsidRPr="00022D5A">
        <w:rPr>
          <w:sz w:val="22"/>
        </w:rPr>
        <w:t>shall be effective upon execution, and shall be effective permanently, except as in section 8(b) below.</w:t>
      </w:r>
    </w:p>
    <w:p w:rsidR="00BE55BB" w:rsidRPr="00022D5A" w:rsidRDefault="00BE55BB" w:rsidP="00BE55BB">
      <w:pPr>
        <w:numPr>
          <w:ilvl w:val="1"/>
          <w:numId w:val="1"/>
        </w:numPr>
        <w:jc w:val="both"/>
        <w:rPr>
          <w:sz w:val="22"/>
        </w:rPr>
      </w:pPr>
      <w:r w:rsidRPr="00022D5A">
        <w:rPr>
          <w:b/>
          <w:sz w:val="22"/>
          <w:u w:val="single"/>
        </w:rPr>
        <w:t>Termination for Cause</w:t>
      </w:r>
      <w:r w:rsidRPr="00022D5A">
        <w:rPr>
          <w:sz w:val="22"/>
        </w:rPr>
        <w:t xml:space="preserve">. Upon </w:t>
      </w:r>
      <w:r w:rsidR="00F030DD" w:rsidRPr="00022D5A">
        <w:rPr>
          <w:sz w:val="22"/>
        </w:rPr>
        <w:t xml:space="preserve">covered entity's knowledge of a material breach  of this agreement by data recipient, covered entity </w:t>
      </w:r>
      <w:r w:rsidRPr="00022D5A">
        <w:rPr>
          <w:sz w:val="22"/>
        </w:rPr>
        <w:t>shall either:</w:t>
      </w:r>
    </w:p>
    <w:p w:rsidR="00BE55BB" w:rsidRPr="00022D5A" w:rsidRDefault="00BE55BB" w:rsidP="00BE55BB">
      <w:pPr>
        <w:numPr>
          <w:ilvl w:val="1"/>
          <w:numId w:val="2"/>
        </w:numPr>
        <w:tabs>
          <w:tab w:val="clear" w:pos="936"/>
          <w:tab w:val="num" w:pos="1152"/>
        </w:tabs>
        <w:ind w:left="1152"/>
        <w:jc w:val="both"/>
        <w:rPr>
          <w:sz w:val="22"/>
        </w:rPr>
      </w:pPr>
      <w:r w:rsidRPr="00022D5A">
        <w:rPr>
          <w:sz w:val="22"/>
        </w:rPr>
        <w:t xml:space="preserve">Provide an opportunity for </w:t>
      </w:r>
      <w:r w:rsidR="00F030DD" w:rsidRPr="00022D5A">
        <w:rPr>
          <w:sz w:val="22"/>
        </w:rPr>
        <w:t>data recipient to cure the b</w:t>
      </w:r>
      <w:r w:rsidRPr="00022D5A">
        <w:rPr>
          <w:sz w:val="22"/>
        </w:rPr>
        <w:t xml:space="preserve">reach or end the violation OR terminate this </w:t>
      </w:r>
      <w:r w:rsidR="00F030DD" w:rsidRPr="00022D5A">
        <w:rPr>
          <w:sz w:val="22"/>
        </w:rPr>
        <w:t xml:space="preserve">agreement  if data recipient </w:t>
      </w:r>
      <w:r w:rsidRPr="00022D5A">
        <w:rPr>
          <w:sz w:val="22"/>
        </w:rPr>
        <w:t xml:space="preserve">does not cure the breach or end the violation within the time specified by </w:t>
      </w:r>
      <w:r w:rsidR="00F030DD" w:rsidRPr="00022D5A">
        <w:rPr>
          <w:sz w:val="22"/>
        </w:rPr>
        <w:t>covered e</w:t>
      </w:r>
      <w:r w:rsidRPr="00022D5A">
        <w:rPr>
          <w:sz w:val="22"/>
        </w:rPr>
        <w:t>ntity; or</w:t>
      </w:r>
    </w:p>
    <w:p w:rsidR="00BE55BB" w:rsidRPr="00022D5A" w:rsidRDefault="00BE55BB" w:rsidP="00BE55BB">
      <w:pPr>
        <w:numPr>
          <w:ilvl w:val="1"/>
          <w:numId w:val="2"/>
        </w:numPr>
        <w:tabs>
          <w:tab w:val="clear" w:pos="936"/>
          <w:tab w:val="num" w:pos="1152"/>
        </w:tabs>
        <w:ind w:left="1152"/>
        <w:jc w:val="both"/>
        <w:rPr>
          <w:sz w:val="22"/>
        </w:rPr>
      </w:pPr>
      <w:r w:rsidRPr="00022D5A">
        <w:rPr>
          <w:sz w:val="22"/>
        </w:rPr>
        <w:t xml:space="preserve">Immediately terminate this </w:t>
      </w:r>
      <w:r w:rsidR="00F030DD" w:rsidRPr="00022D5A">
        <w:rPr>
          <w:sz w:val="22"/>
        </w:rPr>
        <w:t>agreement,</w:t>
      </w:r>
      <w:r w:rsidR="00F030DD" w:rsidRPr="00022D5A">
        <w:rPr>
          <w:b/>
          <w:color w:val="0000FF"/>
          <w:sz w:val="22"/>
        </w:rPr>
        <w:t xml:space="preserve"> </w:t>
      </w:r>
      <w:r w:rsidR="00F030DD" w:rsidRPr="00022D5A">
        <w:rPr>
          <w:sz w:val="22"/>
        </w:rPr>
        <w:t>if cure is not possible, and report the violation to the secr</w:t>
      </w:r>
      <w:r w:rsidRPr="00022D5A">
        <w:rPr>
          <w:sz w:val="22"/>
        </w:rPr>
        <w:t>etary.</w:t>
      </w:r>
    </w:p>
    <w:p w:rsidR="00BE55BB" w:rsidRPr="00022D5A" w:rsidRDefault="00BE55BB" w:rsidP="00BE55BB">
      <w:pPr>
        <w:ind w:left="216"/>
        <w:jc w:val="both"/>
        <w:rPr>
          <w:sz w:val="22"/>
        </w:rPr>
      </w:pPr>
    </w:p>
    <w:p w:rsidR="00BE55BB" w:rsidRPr="00022D5A" w:rsidRDefault="00BE55BB" w:rsidP="00BE55BB">
      <w:pPr>
        <w:numPr>
          <w:ilvl w:val="1"/>
          <w:numId w:val="1"/>
        </w:numPr>
        <w:rPr>
          <w:sz w:val="22"/>
        </w:rPr>
      </w:pPr>
      <w:r w:rsidRPr="00022D5A">
        <w:rPr>
          <w:b/>
          <w:sz w:val="22"/>
          <w:u w:val="single"/>
        </w:rPr>
        <w:t>Effect of Termination</w:t>
      </w:r>
    </w:p>
    <w:p w:rsidR="00BE55BB" w:rsidRPr="00022D5A" w:rsidRDefault="00F030DD" w:rsidP="00BE55BB">
      <w:pPr>
        <w:ind w:left="360"/>
        <w:jc w:val="both"/>
        <w:rPr>
          <w:sz w:val="22"/>
        </w:rPr>
      </w:pPr>
      <w:r>
        <w:rPr>
          <w:sz w:val="22"/>
        </w:rPr>
        <w:t xml:space="preserve">Data recipient </w:t>
      </w:r>
      <w:r w:rsidR="00BE55BB" w:rsidRPr="00022D5A">
        <w:rPr>
          <w:sz w:val="22"/>
        </w:rPr>
        <w:t xml:space="preserve">shall extend the protections of </w:t>
      </w:r>
      <w:r w:rsidRPr="00022D5A">
        <w:rPr>
          <w:sz w:val="22"/>
        </w:rPr>
        <w:t xml:space="preserve">this agreement to any limited data set information that it does not destroy or return to covered entity and limit further uses and disclosures of such limited data set  for  so long as data recipient and  its agents and contractors retain limited data set </w:t>
      </w:r>
      <w:r w:rsidR="00BE55BB" w:rsidRPr="00022D5A">
        <w:rPr>
          <w:sz w:val="22"/>
        </w:rPr>
        <w:t>information.</w:t>
      </w:r>
    </w:p>
    <w:p w:rsidR="00BE55BB" w:rsidRPr="00022D5A" w:rsidRDefault="00BE55BB" w:rsidP="00BE55BB">
      <w:pPr>
        <w:rPr>
          <w:sz w:val="22"/>
        </w:rPr>
      </w:pPr>
    </w:p>
    <w:p w:rsidR="00BE55BB" w:rsidRPr="00022D5A" w:rsidRDefault="00BE55BB" w:rsidP="00BE55BB">
      <w:pPr>
        <w:numPr>
          <w:ilvl w:val="0"/>
          <w:numId w:val="1"/>
        </w:numPr>
        <w:rPr>
          <w:sz w:val="22"/>
        </w:rPr>
      </w:pPr>
      <w:r w:rsidRPr="00022D5A">
        <w:rPr>
          <w:b/>
          <w:sz w:val="22"/>
        </w:rPr>
        <w:t>MISCELLANEOUS</w:t>
      </w:r>
      <w:r w:rsidRPr="00022D5A">
        <w:rPr>
          <w:sz w:val="22"/>
        </w:rPr>
        <w:t xml:space="preserve"> </w:t>
      </w:r>
    </w:p>
    <w:p w:rsidR="00BE55BB" w:rsidRPr="00022D5A" w:rsidRDefault="00BE55BB" w:rsidP="00BE55BB">
      <w:pPr>
        <w:numPr>
          <w:ilvl w:val="1"/>
          <w:numId w:val="1"/>
        </w:numPr>
        <w:jc w:val="both"/>
        <w:rPr>
          <w:sz w:val="22"/>
        </w:rPr>
      </w:pPr>
      <w:r w:rsidRPr="00022D5A">
        <w:rPr>
          <w:b/>
          <w:sz w:val="22"/>
          <w:u w:val="single"/>
        </w:rPr>
        <w:t>Regulatory References</w:t>
      </w:r>
      <w:r w:rsidRPr="00022D5A">
        <w:rPr>
          <w:sz w:val="22"/>
        </w:rPr>
        <w:t xml:space="preserve">. A reference in this </w:t>
      </w:r>
      <w:r w:rsidR="00F030DD">
        <w:rPr>
          <w:sz w:val="22"/>
        </w:rPr>
        <w:t>a</w:t>
      </w:r>
      <w:r w:rsidRPr="00022D5A">
        <w:rPr>
          <w:sz w:val="22"/>
        </w:rPr>
        <w:t>greement to a section in the Privacy Rule means the section as in effect or as amended.</w:t>
      </w:r>
    </w:p>
    <w:p w:rsidR="00BE55BB" w:rsidRPr="00022D5A" w:rsidRDefault="00BE55BB" w:rsidP="00BE55BB">
      <w:pPr>
        <w:numPr>
          <w:ilvl w:val="1"/>
          <w:numId w:val="1"/>
        </w:numPr>
        <w:jc w:val="both"/>
        <w:rPr>
          <w:sz w:val="22"/>
        </w:rPr>
      </w:pPr>
      <w:r w:rsidRPr="00022D5A">
        <w:rPr>
          <w:b/>
          <w:sz w:val="22"/>
          <w:u w:val="single"/>
        </w:rPr>
        <w:t>Amendment</w:t>
      </w:r>
      <w:r w:rsidRPr="00022D5A">
        <w:rPr>
          <w:sz w:val="22"/>
        </w:rPr>
        <w:t xml:space="preserve">. The </w:t>
      </w:r>
      <w:r w:rsidR="00F030DD">
        <w:rPr>
          <w:sz w:val="22"/>
        </w:rPr>
        <w:t>p</w:t>
      </w:r>
      <w:r w:rsidRPr="00022D5A">
        <w:rPr>
          <w:sz w:val="22"/>
        </w:rPr>
        <w:t xml:space="preserve">arties agree to take such action as is necessary to amend this </w:t>
      </w:r>
      <w:r w:rsidR="00F030DD" w:rsidRPr="00022D5A">
        <w:rPr>
          <w:sz w:val="22"/>
        </w:rPr>
        <w:t xml:space="preserve">agreement from time to time as is necessary for either party or both parties to comply with the requirements </w:t>
      </w:r>
      <w:r w:rsidRPr="00022D5A">
        <w:rPr>
          <w:sz w:val="22"/>
        </w:rPr>
        <w:t xml:space="preserve">of the Privacy Rule and the Health Insurance Portability and Accountability Act </w:t>
      </w:r>
      <w:r w:rsidR="00F030DD">
        <w:rPr>
          <w:sz w:val="22"/>
        </w:rPr>
        <w:t xml:space="preserve">(HIPPA) </w:t>
      </w:r>
      <w:r w:rsidRPr="00022D5A">
        <w:rPr>
          <w:sz w:val="22"/>
        </w:rPr>
        <w:t>of 1996, Pub. L. No. 104-191.</w:t>
      </w:r>
    </w:p>
    <w:p w:rsidR="00BE55BB" w:rsidRPr="00022D5A" w:rsidRDefault="00BE55BB" w:rsidP="00BE55BB">
      <w:pPr>
        <w:numPr>
          <w:ilvl w:val="1"/>
          <w:numId w:val="1"/>
        </w:numPr>
        <w:jc w:val="both"/>
        <w:rPr>
          <w:sz w:val="22"/>
        </w:rPr>
      </w:pPr>
      <w:r w:rsidRPr="00022D5A">
        <w:rPr>
          <w:b/>
          <w:sz w:val="22"/>
          <w:u w:val="single"/>
        </w:rPr>
        <w:lastRenderedPageBreak/>
        <w:t>Survival</w:t>
      </w:r>
      <w:r w:rsidRPr="00022D5A">
        <w:rPr>
          <w:sz w:val="22"/>
        </w:rPr>
        <w:t xml:space="preserve">. The respective rights and obligations of </w:t>
      </w:r>
      <w:r w:rsidR="00F030DD" w:rsidRPr="00022D5A">
        <w:rPr>
          <w:sz w:val="22"/>
        </w:rPr>
        <w:t xml:space="preserve">data recipient under sections </w:t>
      </w:r>
      <w:r w:rsidRPr="00022D5A">
        <w:rPr>
          <w:sz w:val="22"/>
        </w:rPr>
        <w:t xml:space="preserve">4, 5, and 6 of this </w:t>
      </w:r>
      <w:r w:rsidR="00F030DD">
        <w:rPr>
          <w:sz w:val="22"/>
        </w:rPr>
        <w:t>a</w:t>
      </w:r>
      <w:r w:rsidRPr="00022D5A">
        <w:rPr>
          <w:sz w:val="22"/>
        </w:rPr>
        <w:t xml:space="preserve">greement shall survive the termination of this </w:t>
      </w:r>
      <w:r w:rsidR="00F030DD">
        <w:rPr>
          <w:sz w:val="22"/>
        </w:rPr>
        <w:t>a</w:t>
      </w:r>
      <w:r w:rsidRPr="00022D5A">
        <w:rPr>
          <w:sz w:val="22"/>
        </w:rPr>
        <w:t xml:space="preserve">greement.  </w:t>
      </w:r>
    </w:p>
    <w:p w:rsidR="00BE55BB" w:rsidRPr="00022D5A" w:rsidRDefault="00BE55BB" w:rsidP="00BE55BB">
      <w:pPr>
        <w:numPr>
          <w:ilvl w:val="1"/>
          <w:numId w:val="1"/>
        </w:numPr>
        <w:jc w:val="both"/>
        <w:rPr>
          <w:sz w:val="22"/>
        </w:rPr>
      </w:pPr>
      <w:r w:rsidRPr="00022D5A">
        <w:rPr>
          <w:b/>
          <w:sz w:val="22"/>
          <w:u w:val="single"/>
        </w:rPr>
        <w:t>Interpretation</w:t>
      </w:r>
      <w:r w:rsidRPr="00022D5A">
        <w:rPr>
          <w:sz w:val="22"/>
        </w:rPr>
        <w:t xml:space="preserve">. Any ambiguity in this </w:t>
      </w:r>
      <w:r w:rsidR="00F030DD">
        <w:rPr>
          <w:sz w:val="22"/>
        </w:rPr>
        <w:t>a</w:t>
      </w:r>
      <w:r w:rsidRPr="00022D5A">
        <w:rPr>
          <w:sz w:val="22"/>
        </w:rPr>
        <w:t xml:space="preserve">greement shall be resolved to permit </w:t>
      </w:r>
      <w:r w:rsidR="00F030DD" w:rsidRPr="00022D5A">
        <w:rPr>
          <w:sz w:val="22"/>
        </w:rPr>
        <w:t>covered entity to comply with the</w:t>
      </w:r>
      <w:r w:rsidRPr="00022D5A">
        <w:rPr>
          <w:sz w:val="22"/>
        </w:rPr>
        <w:t xml:space="preserve"> Privacy Rule.</w:t>
      </w:r>
    </w:p>
    <w:p w:rsidR="00BE55BB" w:rsidRPr="00022D5A" w:rsidRDefault="00BE55BB" w:rsidP="00BE55BB">
      <w:pPr>
        <w:numPr>
          <w:ilvl w:val="1"/>
          <w:numId w:val="1"/>
        </w:numPr>
        <w:jc w:val="both"/>
        <w:rPr>
          <w:sz w:val="22"/>
        </w:rPr>
      </w:pPr>
      <w:r w:rsidRPr="00022D5A">
        <w:rPr>
          <w:b/>
          <w:sz w:val="22"/>
          <w:u w:val="single"/>
        </w:rPr>
        <w:t>Construction of Terms</w:t>
      </w:r>
      <w:r w:rsidRPr="00022D5A">
        <w:rPr>
          <w:sz w:val="22"/>
        </w:rPr>
        <w:t xml:space="preserve">.  The terms of this </w:t>
      </w:r>
      <w:r w:rsidR="00F030DD" w:rsidRPr="00022D5A">
        <w:rPr>
          <w:sz w:val="22"/>
        </w:rPr>
        <w:t xml:space="preserve">agreement shall be construed in light of any applicable interpretation or guidance </w:t>
      </w:r>
      <w:r w:rsidRPr="00022D5A">
        <w:rPr>
          <w:sz w:val="22"/>
        </w:rPr>
        <w:t>on HIPAA or the Privacy Rule issued by the Department of Health and Human Service or its Office of Civil Rights from time to time.</w:t>
      </w:r>
    </w:p>
    <w:p w:rsidR="00BE55BB" w:rsidRPr="00022D5A" w:rsidRDefault="00BE55BB" w:rsidP="00BE55BB">
      <w:pPr>
        <w:numPr>
          <w:ilvl w:val="1"/>
          <w:numId w:val="1"/>
        </w:numPr>
        <w:jc w:val="both"/>
        <w:rPr>
          <w:sz w:val="22"/>
        </w:rPr>
      </w:pPr>
      <w:r w:rsidRPr="00022D5A">
        <w:rPr>
          <w:b/>
          <w:sz w:val="22"/>
          <w:u w:val="single"/>
        </w:rPr>
        <w:t>No Third Party Beneficiaries</w:t>
      </w:r>
      <w:r w:rsidRPr="00022D5A">
        <w:rPr>
          <w:sz w:val="22"/>
        </w:rPr>
        <w:t xml:space="preserve">.  Nothing in this </w:t>
      </w:r>
      <w:r w:rsidR="00F030DD">
        <w:rPr>
          <w:sz w:val="22"/>
        </w:rPr>
        <w:t>a</w:t>
      </w:r>
      <w:r w:rsidRPr="00022D5A">
        <w:rPr>
          <w:sz w:val="22"/>
        </w:rPr>
        <w:t>greement shall confer upon any person other than the parties and their respective successors or assigns, any rights, remedies, obligations, or liabilities whatsoever.</w:t>
      </w:r>
    </w:p>
    <w:p w:rsidR="00BE55BB" w:rsidRPr="00022D5A" w:rsidRDefault="00BE55BB" w:rsidP="00BE55BB">
      <w:pPr>
        <w:rPr>
          <w:sz w:val="22"/>
        </w:rPr>
      </w:pPr>
    </w:p>
    <w:p w:rsidR="009845C8" w:rsidRDefault="009845C8" w:rsidP="00BE55BB">
      <w:pPr>
        <w:rPr>
          <w:i/>
          <w:sz w:val="22"/>
        </w:rPr>
      </w:pPr>
    </w:p>
    <w:p w:rsidR="00215508" w:rsidRDefault="00215508" w:rsidP="00BE55BB">
      <w:pPr>
        <w:rPr>
          <w:i/>
          <w:sz w:val="22"/>
        </w:rPr>
      </w:pPr>
    </w:p>
    <w:p w:rsidR="00215508" w:rsidRDefault="00215508" w:rsidP="00BE55BB">
      <w:pPr>
        <w:rPr>
          <w:i/>
          <w:sz w:val="22"/>
        </w:rPr>
      </w:pPr>
    </w:p>
    <w:p w:rsidR="00D46632" w:rsidRPr="009845C8" w:rsidRDefault="009845C8" w:rsidP="00BE55BB">
      <w:pPr>
        <w:rPr>
          <w:i/>
          <w:sz w:val="22"/>
        </w:rPr>
      </w:pPr>
      <w:r w:rsidRPr="009845C8">
        <w:rPr>
          <w:i/>
          <w:sz w:val="22"/>
        </w:rPr>
        <w:t>By signing the agreement, both parties agree to the terms outlined above. The agreement goes into effect on ___________ (</w:t>
      </w:r>
      <w:r w:rsidRPr="009845C8">
        <w:rPr>
          <w:i/>
          <w:color w:val="365F91" w:themeColor="accent1" w:themeShade="BF"/>
          <w:sz w:val="22"/>
        </w:rPr>
        <w:t>specify date</w:t>
      </w:r>
      <w:r w:rsidRPr="009845C8">
        <w:rPr>
          <w:i/>
          <w:sz w:val="22"/>
        </w:rPr>
        <w:t>)</w:t>
      </w:r>
      <w:r>
        <w:rPr>
          <w:i/>
          <w:sz w:val="22"/>
        </w:rPr>
        <w:t>.</w:t>
      </w:r>
    </w:p>
    <w:p w:rsidR="00D46632" w:rsidRPr="00022D5A" w:rsidRDefault="00D46632" w:rsidP="00BE55BB">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710"/>
        <w:gridCol w:w="2880"/>
        <w:gridCol w:w="1800"/>
        <w:gridCol w:w="2808"/>
      </w:tblGrid>
      <w:tr w:rsidR="008A4F9C" w:rsidTr="0039312A">
        <w:tc>
          <w:tcPr>
            <w:tcW w:w="378" w:type="dxa"/>
          </w:tcPr>
          <w:p w:rsidR="008A4F9C" w:rsidRPr="008A4F9C" w:rsidRDefault="008A4F9C" w:rsidP="00BE55BB">
            <w:pPr>
              <w:rPr>
                <w:b/>
                <w:sz w:val="22"/>
              </w:rPr>
            </w:pPr>
          </w:p>
        </w:tc>
        <w:tc>
          <w:tcPr>
            <w:tcW w:w="1710" w:type="dxa"/>
          </w:tcPr>
          <w:p w:rsidR="008A4F9C" w:rsidRPr="008A4F9C" w:rsidRDefault="008A4F9C" w:rsidP="00BE55BB">
            <w:pPr>
              <w:rPr>
                <w:b/>
                <w:sz w:val="22"/>
              </w:rPr>
            </w:pPr>
            <w:r w:rsidRPr="008A4F9C">
              <w:rPr>
                <w:b/>
                <w:sz w:val="22"/>
              </w:rPr>
              <w:t>Data Recipient:</w:t>
            </w:r>
          </w:p>
        </w:tc>
        <w:tc>
          <w:tcPr>
            <w:tcW w:w="2880" w:type="dxa"/>
            <w:tcBorders>
              <w:bottom w:val="single" w:sz="4" w:space="0" w:color="auto"/>
            </w:tcBorders>
          </w:tcPr>
          <w:p w:rsidR="008A4F9C" w:rsidRDefault="008A4F9C" w:rsidP="00BE55BB">
            <w:pPr>
              <w:rPr>
                <w:sz w:val="22"/>
              </w:rPr>
            </w:pPr>
          </w:p>
        </w:tc>
        <w:tc>
          <w:tcPr>
            <w:tcW w:w="1800" w:type="dxa"/>
          </w:tcPr>
          <w:p w:rsidR="008A4F9C" w:rsidRPr="008A4F9C" w:rsidRDefault="008A4F9C" w:rsidP="00BE55BB">
            <w:pPr>
              <w:rPr>
                <w:b/>
                <w:sz w:val="22"/>
              </w:rPr>
            </w:pPr>
            <w:r w:rsidRPr="008A4F9C">
              <w:rPr>
                <w:b/>
                <w:sz w:val="22"/>
              </w:rPr>
              <w:t>Covered Entity:</w:t>
            </w:r>
          </w:p>
        </w:tc>
        <w:tc>
          <w:tcPr>
            <w:tcW w:w="2808" w:type="dxa"/>
            <w:tcBorders>
              <w:bottom w:val="single" w:sz="4" w:space="0" w:color="auto"/>
            </w:tcBorders>
          </w:tcPr>
          <w:p w:rsidR="008A4F9C" w:rsidRDefault="008A4F9C" w:rsidP="00BE55BB">
            <w:pPr>
              <w:rPr>
                <w:sz w:val="22"/>
              </w:rPr>
            </w:pPr>
          </w:p>
        </w:tc>
      </w:tr>
      <w:tr w:rsidR="008A4F9C" w:rsidRPr="0039312A" w:rsidTr="0039312A">
        <w:tc>
          <w:tcPr>
            <w:tcW w:w="378" w:type="dxa"/>
          </w:tcPr>
          <w:p w:rsidR="008A4F9C" w:rsidRPr="0039312A" w:rsidRDefault="008A4F9C" w:rsidP="00BE55BB">
            <w:pPr>
              <w:rPr>
                <w:b/>
                <w:sz w:val="10"/>
                <w:szCs w:val="10"/>
              </w:rPr>
            </w:pPr>
          </w:p>
        </w:tc>
        <w:tc>
          <w:tcPr>
            <w:tcW w:w="1710" w:type="dxa"/>
          </w:tcPr>
          <w:p w:rsidR="008A4F9C" w:rsidRPr="0039312A" w:rsidRDefault="008A4F9C" w:rsidP="00BE55BB">
            <w:pPr>
              <w:rPr>
                <w:b/>
                <w:sz w:val="10"/>
                <w:szCs w:val="10"/>
              </w:rPr>
            </w:pPr>
          </w:p>
        </w:tc>
        <w:tc>
          <w:tcPr>
            <w:tcW w:w="2880" w:type="dxa"/>
            <w:tcBorders>
              <w:top w:val="single" w:sz="4" w:space="0" w:color="auto"/>
            </w:tcBorders>
          </w:tcPr>
          <w:p w:rsidR="008A4F9C" w:rsidRPr="0039312A" w:rsidRDefault="008A4F9C" w:rsidP="00BE55BB">
            <w:pPr>
              <w:rPr>
                <w:sz w:val="10"/>
                <w:szCs w:val="10"/>
              </w:rPr>
            </w:pPr>
          </w:p>
        </w:tc>
        <w:tc>
          <w:tcPr>
            <w:tcW w:w="1800" w:type="dxa"/>
          </w:tcPr>
          <w:p w:rsidR="008A4F9C" w:rsidRPr="0039312A" w:rsidRDefault="008A4F9C" w:rsidP="00BE55BB">
            <w:pPr>
              <w:rPr>
                <w:b/>
                <w:sz w:val="10"/>
                <w:szCs w:val="10"/>
              </w:rPr>
            </w:pPr>
          </w:p>
        </w:tc>
        <w:tc>
          <w:tcPr>
            <w:tcW w:w="2808" w:type="dxa"/>
            <w:tcBorders>
              <w:top w:val="single" w:sz="4" w:space="0" w:color="auto"/>
            </w:tcBorders>
          </w:tcPr>
          <w:p w:rsidR="008A4F9C" w:rsidRPr="0039312A" w:rsidRDefault="008A4F9C" w:rsidP="00BE55BB">
            <w:pPr>
              <w:rPr>
                <w:sz w:val="10"/>
                <w:szCs w:val="10"/>
              </w:rPr>
            </w:pPr>
          </w:p>
        </w:tc>
      </w:tr>
      <w:tr w:rsidR="008A4F9C" w:rsidTr="0039312A">
        <w:tc>
          <w:tcPr>
            <w:tcW w:w="378" w:type="dxa"/>
          </w:tcPr>
          <w:p w:rsidR="008A4F9C" w:rsidRPr="008A4F9C" w:rsidRDefault="008A4F9C" w:rsidP="00BE55BB">
            <w:pPr>
              <w:rPr>
                <w:b/>
                <w:sz w:val="22"/>
              </w:rPr>
            </w:pPr>
          </w:p>
        </w:tc>
        <w:tc>
          <w:tcPr>
            <w:tcW w:w="1710" w:type="dxa"/>
          </w:tcPr>
          <w:p w:rsidR="008A4F9C" w:rsidRPr="008A4F9C" w:rsidRDefault="008A4F9C" w:rsidP="00BE55BB">
            <w:pPr>
              <w:rPr>
                <w:b/>
                <w:sz w:val="22"/>
              </w:rPr>
            </w:pPr>
            <w:r w:rsidRPr="008A4F9C">
              <w:rPr>
                <w:b/>
                <w:sz w:val="22"/>
              </w:rPr>
              <w:t>Print Name:</w:t>
            </w:r>
          </w:p>
        </w:tc>
        <w:tc>
          <w:tcPr>
            <w:tcW w:w="2880" w:type="dxa"/>
            <w:tcBorders>
              <w:bottom w:val="single" w:sz="4" w:space="0" w:color="auto"/>
            </w:tcBorders>
          </w:tcPr>
          <w:p w:rsidR="008A4F9C" w:rsidRDefault="008A4F9C" w:rsidP="00BE55BB">
            <w:pPr>
              <w:rPr>
                <w:sz w:val="22"/>
              </w:rPr>
            </w:pPr>
          </w:p>
        </w:tc>
        <w:tc>
          <w:tcPr>
            <w:tcW w:w="1800" w:type="dxa"/>
          </w:tcPr>
          <w:p w:rsidR="008A4F9C" w:rsidRPr="008A4F9C" w:rsidRDefault="008A4F9C" w:rsidP="00BE55BB">
            <w:pPr>
              <w:rPr>
                <w:b/>
                <w:sz w:val="22"/>
              </w:rPr>
            </w:pPr>
            <w:r w:rsidRPr="008A4F9C">
              <w:rPr>
                <w:b/>
                <w:sz w:val="22"/>
              </w:rPr>
              <w:t>Print Name:</w:t>
            </w:r>
          </w:p>
        </w:tc>
        <w:tc>
          <w:tcPr>
            <w:tcW w:w="2808" w:type="dxa"/>
            <w:tcBorders>
              <w:bottom w:val="single" w:sz="4" w:space="0" w:color="auto"/>
            </w:tcBorders>
          </w:tcPr>
          <w:p w:rsidR="008A4F9C" w:rsidRDefault="008A4F9C" w:rsidP="00BE55BB">
            <w:pPr>
              <w:rPr>
                <w:sz w:val="22"/>
              </w:rPr>
            </w:pPr>
          </w:p>
        </w:tc>
      </w:tr>
      <w:tr w:rsidR="008A4F9C" w:rsidRPr="0039312A" w:rsidTr="0039312A">
        <w:tc>
          <w:tcPr>
            <w:tcW w:w="378" w:type="dxa"/>
          </w:tcPr>
          <w:p w:rsidR="008A4F9C" w:rsidRPr="0039312A" w:rsidRDefault="008A4F9C" w:rsidP="00BE55BB">
            <w:pPr>
              <w:rPr>
                <w:b/>
                <w:sz w:val="10"/>
                <w:szCs w:val="10"/>
              </w:rPr>
            </w:pPr>
          </w:p>
        </w:tc>
        <w:tc>
          <w:tcPr>
            <w:tcW w:w="1710" w:type="dxa"/>
          </w:tcPr>
          <w:p w:rsidR="008A4F9C" w:rsidRPr="0039312A" w:rsidRDefault="008A4F9C" w:rsidP="00BE55BB">
            <w:pPr>
              <w:rPr>
                <w:b/>
                <w:sz w:val="10"/>
                <w:szCs w:val="10"/>
              </w:rPr>
            </w:pPr>
          </w:p>
        </w:tc>
        <w:tc>
          <w:tcPr>
            <w:tcW w:w="2880" w:type="dxa"/>
            <w:tcBorders>
              <w:top w:val="single" w:sz="4" w:space="0" w:color="auto"/>
            </w:tcBorders>
          </w:tcPr>
          <w:p w:rsidR="008A4F9C" w:rsidRPr="0039312A" w:rsidRDefault="008A4F9C" w:rsidP="00BE55BB">
            <w:pPr>
              <w:rPr>
                <w:sz w:val="10"/>
                <w:szCs w:val="10"/>
              </w:rPr>
            </w:pPr>
          </w:p>
        </w:tc>
        <w:tc>
          <w:tcPr>
            <w:tcW w:w="1800" w:type="dxa"/>
          </w:tcPr>
          <w:p w:rsidR="008A4F9C" w:rsidRPr="0039312A" w:rsidRDefault="008A4F9C" w:rsidP="00BE55BB">
            <w:pPr>
              <w:rPr>
                <w:b/>
                <w:sz w:val="10"/>
                <w:szCs w:val="10"/>
              </w:rPr>
            </w:pPr>
          </w:p>
        </w:tc>
        <w:tc>
          <w:tcPr>
            <w:tcW w:w="2808" w:type="dxa"/>
            <w:tcBorders>
              <w:top w:val="single" w:sz="4" w:space="0" w:color="auto"/>
            </w:tcBorders>
          </w:tcPr>
          <w:p w:rsidR="008A4F9C" w:rsidRPr="0039312A" w:rsidRDefault="008A4F9C" w:rsidP="00BE55BB">
            <w:pPr>
              <w:rPr>
                <w:sz w:val="10"/>
                <w:szCs w:val="10"/>
              </w:rPr>
            </w:pPr>
          </w:p>
        </w:tc>
      </w:tr>
      <w:tr w:rsidR="008A4F9C" w:rsidTr="0039312A">
        <w:tc>
          <w:tcPr>
            <w:tcW w:w="378" w:type="dxa"/>
          </w:tcPr>
          <w:p w:rsidR="008A4F9C" w:rsidRPr="008A4F9C" w:rsidRDefault="008A4F9C" w:rsidP="00BE55BB">
            <w:pPr>
              <w:rPr>
                <w:b/>
                <w:sz w:val="22"/>
              </w:rPr>
            </w:pPr>
          </w:p>
        </w:tc>
        <w:tc>
          <w:tcPr>
            <w:tcW w:w="1710" w:type="dxa"/>
          </w:tcPr>
          <w:p w:rsidR="008A4F9C" w:rsidRPr="008A4F9C" w:rsidRDefault="008A4F9C" w:rsidP="00BE55BB">
            <w:pPr>
              <w:rPr>
                <w:b/>
                <w:sz w:val="22"/>
              </w:rPr>
            </w:pPr>
            <w:r w:rsidRPr="008A4F9C">
              <w:rPr>
                <w:b/>
                <w:sz w:val="22"/>
              </w:rPr>
              <w:t>Print Title:</w:t>
            </w:r>
          </w:p>
        </w:tc>
        <w:tc>
          <w:tcPr>
            <w:tcW w:w="2880" w:type="dxa"/>
            <w:tcBorders>
              <w:bottom w:val="single" w:sz="4" w:space="0" w:color="auto"/>
            </w:tcBorders>
          </w:tcPr>
          <w:p w:rsidR="008A4F9C" w:rsidRDefault="008A4F9C" w:rsidP="00BE55BB">
            <w:pPr>
              <w:rPr>
                <w:sz w:val="22"/>
              </w:rPr>
            </w:pPr>
          </w:p>
        </w:tc>
        <w:tc>
          <w:tcPr>
            <w:tcW w:w="1800" w:type="dxa"/>
          </w:tcPr>
          <w:p w:rsidR="008A4F9C" w:rsidRPr="008A4F9C" w:rsidRDefault="008A4F9C" w:rsidP="00BE55BB">
            <w:pPr>
              <w:rPr>
                <w:b/>
                <w:sz w:val="22"/>
              </w:rPr>
            </w:pPr>
            <w:r w:rsidRPr="008A4F9C">
              <w:rPr>
                <w:b/>
                <w:sz w:val="22"/>
              </w:rPr>
              <w:t>Print Title:</w:t>
            </w:r>
          </w:p>
        </w:tc>
        <w:tc>
          <w:tcPr>
            <w:tcW w:w="2808" w:type="dxa"/>
            <w:tcBorders>
              <w:bottom w:val="single" w:sz="4" w:space="0" w:color="auto"/>
            </w:tcBorders>
          </w:tcPr>
          <w:p w:rsidR="008A4F9C" w:rsidRDefault="008A4F9C" w:rsidP="00BE55BB">
            <w:pPr>
              <w:rPr>
                <w:sz w:val="22"/>
              </w:rPr>
            </w:pPr>
          </w:p>
        </w:tc>
      </w:tr>
      <w:tr w:rsidR="008A4F9C" w:rsidRPr="0039312A" w:rsidTr="0039312A">
        <w:tc>
          <w:tcPr>
            <w:tcW w:w="378" w:type="dxa"/>
          </w:tcPr>
          <w:p w:rsidR="008A4F9C" w:rsidRPr="0039312A" w:rsidRDefault="008A4F9C" w:rsidP="00BE55BB">
            <w:pPr>
              <w:rPr>
                <w:b/>
                <w:sz w:val="10"/>
                <w:szCs w:val="10"/>
              </w:rPr>
            </w:pPr>
          </w:p>
        </w:tc>
        <w:tc>
          <w:tcPr>
            <w:tcW w:w="1710" w:type="dxa"/>
          </w:tcPr>
          <w:p w:rsidR="008A4F9C" w:rsidRPr="0039312A" w:rsidRDefault="008A4F9C" w:rsidP="00BE55BB">
            <w:pPr>
              <w:rPr>
                <w:b/>
                <w:sz w:val="10"/>
                <w:szCs w:val="10"/>
              </w:rPr>
            </w:pPr>
          </w:p>
        </w:tc>
        <w:tc>
          <w:tcPr>
            <w:tcW w:w="2880" w:type="dxa"/>
            <w:tcBorders>
              <w:top w:val="single" w:sz="4" w:space="0" w:color="auto"/>
            </w:tcBorders>
          </w:tcPr>
          <w:p w:rsidR="008A4F9C" w:rsidRPr="0039312A" w:rsidRDefault="008A4F9C" w:rsidP="00BE55BB">
            <w:pPr>
              <w:rPr>
                <w:sz w:val="10"/>
                <w:szCs w:val="10"/>
              </w:rPr>
            </w:pPr>
          </w:p>
        </w:tc>
        <w:tc>
          <w:tcPr>
            <w:tcW w:w="1800" w:type="dxa"/>
          </w:tcPr>
          <w:p w:rsidR="008A4F9C" w:rsidRPr="0039312A" w:rsidRDefault="008A4F9C" w:rsidP="00BE55BB">
            <w:pPr>
              <w:rPr>
                <w:b/>
                <w:sz w:val="10"/>
                <w:szCs w:val="10"/>
              </w:rPr>
            </w:pPr>
          </w:p>
        </w:tc>
        <w:tc>
          <w:tcPr>
            <w:tcW w:w="2808" w:type="dxa"/>
            <w:tcBorders>
              <w:top w:val="single" w:sz="4" w:space="0" w:color="auto"/>
            </w:tcBorders>
          </w:tcPr>
          <w:p w:rsidR="008A4F9C" w:rsidRPr="0039312A" w:rsidRDefault="008A4F9C" w:rsidP="00BE55BB">
            <w:pPr>
              <w:rPr>
                <w:sz w:val="10"/>
                <w:szCs w:val="10"/>
              </w:rPr>
            </w:pPr>
          </w:p>
        </w:tc>
      </w:tr>
      <w:tr w:rsidR="008A4F9C" w:rsidTr="0039312A">
        <w:tc>
          <w:tcPr>
            <w:tcW w:w="378" w:type="dxa"/>
          </w:tcPr>
          <w:p w:rsidR="008A4F9C" w:rsidRPr="008A4F9C" w:rsidRDefault="008A4F9C" w:rsidP="00BE55BB">
            <w:pPr>
              <w:rPr>
                <w:b/>
                <w:sz w:val="22"/>
              </w:rPr>
            </w:pPr>
          </w:p>
        </w:tc>
        <w:tc>
          <w:tcPr>
            <w:tcW w:w="1710" w:type="dxa"/>
          </w:tcPr>
          <w:p w:rsidR="008A4F9C" w:rsidRPr="008A4F9C" w:rsidRDefault="008A4F9C" w:rsidP="00BE55BB">
            <w:pPr>
              <w:rPr>
                <w:b/>
                <w:sz w:val="22"/>
              </w:rPr>
            </w:pPr>
            <w:r w:rsidRPr="008A4F9C">
              <w:rPr>
                <w:b/>
                <w:sz w:val="22"/>
              </w:rPr>
              <w:t>Date:</w:t>
            </w:r>
          </w:p>
        </w:tc>
        <w:tc>
          <w:tcPr>
            <w:tcW w:w="2880" w:type="dxa"/>
            <w:tcBorders>
              <w:bottom w:val="single" w:sz="4" w:space="0" w:color="auto"/>
            </w:tcBorders>
          </w:tcPr>
          <w:p w:rsidR="008A4F9C" w:rsidRDefault="008A4F9C" w:rsidP="00BE55BB">
            <w:pPr>
              <w:rPr>
                <w:sz w:val="22"/>
              </w:rPr>
            </w:pPr>
          </w:p>
        </w:tc>
        <w:tc>
          <w:tcPr>
            <w:tcW w:w="1800" w:type="dxa"/>
          </w:tcPr>
          <w:p w:rsidR="008A4F9C" w:rsidRPr="008A4F9C" w:rsidRDefault="008A4F9C" w:rsidP="00BE55BB">
            <w:pPr>
              <w:rPr>
                <w:b/>
                <w:sz w:val="22"/>
              </w:rPr>
            </w:pPr>
            <w:r w:rsidRPr="008A4F9C">
              <w:rPr>
                <w:b/>
                <w:sz w:val="22"/>
              </w:rPr>
              <w:t>Date:</w:t>
            </w:r>
          </w:p>
        </w:tc>
        <w:tc>
          <w:tcPr>
            <w:tcW w:w="2808" w:type="dxa"/>
            <w:tcBorders>
              <w:bottom w:val="single" w:sz="4" w:space="0" w:color="auto"/>
            </w:tcBorders>
          </w:tcPr>
          <w:p w:rsidR="008A4F9C" w:rsidRDefault="008A4F9C" w:rsidP="00BE55BB">
            <w:pPr>
              <w:rPr>
                <w:sz w:val="22"/>
              </w:rPr>
            </w:pPr>
          </w:p>
        </w:tc>
      </w:tr>
    </w:tbl>
    <w:p w:rsidR="00D46632" w:rsidRPr="00022D5A" w:rsidRDefault="00D46632" w:rsidP="00BE55BB">
      <w:pPr>
        <w:rPr>
          <w:sz w:val="22"/>
        </w:rPr>
      </w:pPr>
    </w:p>
    <w:sectPr w:rsidR="00D46632" w:rsidRPr="00022D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3D" w:rsidRDefault="00A7303D">
      <w:r>
        <w:separator/>
      </w:r>
    </w:p>
  </w:endnote>
  <w:endnote w:type="continuationSeparator" w:id="0">
    <w:p w:rsidR="00A7303D" w:rsidRDefault="00A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9B" w:rsidRDefault="00BE55BB">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A767B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3D" w:rsidRDefault="00A7303D">
      <w:r>
        <w:separator/>
      </w:r>
    </w:p>
  </w:footnote>
  <w:footnote w:type="continuationSeparator" w:id="0">
    <w:p w:rsidR="00A7303D" w:rsidRDefault="00A7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7BD" w:rsidRDefault="00A767BD" w:rsidP="00A767BD">
    <w:pPr>
      <w:pStyle w:val="Header"/>
      <w:jc w:val="center"/>
      <w:rPr>
        <w:sz w:val="22"/>
      </w:rPr>
    </w:pPr>
    <w:r>
      <w:rPr>
        <w:sz w:val="22"/>
      </w:rPr>
      <w:t>If you require this document in another format please contact the IRB Chair at irbchair@ung.edu</w:t>
    </w:r>
  </w:p>
  <w:p w:rsidR="00A767BD" w:rsidRDefault="00A767BD" w:rsidP="00A767BD">
    <w:pPr>
      <w:pStyle w:val="Header"/>
      <w:jc w:val="center"/>
    </w:pPr>
  </w:p>
  <w:p w:rsidR="00A767BD" w:rsidRDefault="00A76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83338"/>
    <w:multiLevelType w:val="multilevel"/>
    <w:tmpl w:val="B178B852"/>
    <w:lvl w:ilvl="0">
      <w:start w:val="1"/>
      <w:numFmt w:val="decimal"/>
      <w:lvlText w:val="%1."/>
      <w:lvlJc w:val="left"/>
      <w:pPr>
        <w:tabs>
          <w:tab w:val="num" w:pos="360"/>
        </w:tabs>
        <w:ind w:left="360" w:hanging="360"/>
      </w:pPr>
      <w:rPr>
        <w:rFonts w:ascii="Times New Roman Bold" w:hAnsi="CG Times" w:hint="default"/>
        <w:b/>
        <w:i w:val="0"/>
        <w:sz w:val="24"/>
      </w:rPr>
    </w:lvl>
    <w:lvl w:ilvl="1">
      <w:start w:val="1"/>
      <w:numFmt w:val="lowerLetter"/>
      <w:lvlText w:val="(%2)"/>
      <w:lvlJc w:val="left"/>
      <w:pPr>
        <w:tabs>
          <w:tab w:val="num" w:pos="720"/>
        </w:tabs>
        <w:ind w:left="720" w:hanging="360"/>
      </w:pPr>
      <w:rPr>
        <w:rFonts w:ascii="Times New Roman Bold" w:hAnsi="CG Times" w:hint="default"/>
        <w:b/>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C5F5379"/>
    <w:multiLevelType w:val="multilevel"/>
    <w:tmpl w:val="32A65022"/>
    <w:lvl w:ilvl="0">
      <w:start w:val="1"/>
      <w:numFmt w:val="lowerLetter"/>
      <w:lvlText w:val="(%1)"/>
      <w:lvlJc w:val="left"/>
      <w:pPr>
        <w:tabs>
          <w:tab w:val="num" w:pos="504"/>
        </w:tabs>
        <w:ind w:left="504" w:hanging="504"/>
      </w:pPr>
      <w:rPr>
        <w:rFonts w:hint="default"/>
        <w:b w:val="0"/>
        <w:i w:val="0"/>
        <w:sz w:val="24"/>
      </w:rPr>
    </w:lvl>
    <w:lvl w:ilvl="1">
      <w:start w:val="1"/>
      <w:numFmt w:val="decimal"/>
      <w:lvlText w:val="(%2)"/>
      <w:lvlJc w:val="left"/>
      <w:pPr>
        <w:tabs>
          <w:tab w:val="num" w:pos="936"/>
        </w:tabs>
        <w:ind w:left="936" w:hanging="432"/>
      </w:pPr>
      <w:rPr>
        <w:rFonts w:hint="default"/>
        <w:b w:val="0"/>
        <w:i w:val="0"/>
      </w:rPr>
    </w:lvl>
    <w:lvl w:ilvl="2">
      <w:start w:val="1"/>
      <w:numFmt w:val="lowerLetter"/>
      <w:lvlText w:val="(%3)"/>
      <w:lvlJc w:val="left"/>
      <w:pPr>
        <w:tabs>
          <w:tab w:val="num" w:pos="504"/>
        </w:tabs>
        <w:ind w:left="504" w:hanging="504"/>
      </w:pPr>
      <w:rPr>
        <w:rFonts w:hint="default"/>
        <w:b w:val="0"/>
        <w:i w:val="0"/>
        <w:sz w:val="24"/>
      </w:rPr>
    </w:lvl>
    <w:lvl w:ilvl="3">
      <w:start w:val="1"/>
      <w:numFmt w:val="decimal"/>
      <w:lvlText w:val="(%4)"/>
      <w:lvlJc w:val="left"/>
      <w:pPr>
        <w:tabs>
          <w:tab w:val="num" w:pos="2952"/>
        </w:tabs>
        <w:ind w:left="2952" w:hanging="432"/>
      </w:pPr>
      <w:rPr>
        <w:rFonts w:hint="default"/>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BB"/>
    <w:rsid w:val="00022D5A"/>
    <w:rsid w:val="00185635"/>
    <w:rsid w:val="00215508"/>
    <w:rsid w:val="003713CA"/>
    <w:rsid w:val="0039312A"/>
    <w:rsid w:val="004C19F4"/>
    <w:rsid w:val="005A4CF9"/>
    <w:rsid w:val="00814475"/>
    <w:rsid w:val="008A4F9C"/>
    <w:rsid w:val="009845C8"/>
    <w:rsid w:val="00A7303D"/>
    <w:rsid w:val="00A767BD"/>
    <w:rsid w:val="00BE55BB"/>
    <w:rsid w:val="00C2136D"/>
    <w:rsid w:val="00D11780"/>
    <w:rsid w:val="00D46632"/>
    <w:rsid w:val="00F030DD"/>
    <w:rsid w:val="00FC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98781-1B66-4F6D-B77D-BE69B87C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55BB"/>
    <w:pPr>
      <w:keepNext/>
      <w:spacing w:before="320" w:after="160"/>
      <w:outlineLvl w:val="0"/>
    </w:pPr>
    <w:rPr>
      <w:rFonts w:ascii="Arial" w:hAnsi="Arial"/>
      <w:b/>
      <w:kern w:val="32"/>
      <w:sz w:val="32"/>
    </w:rPr>
  </w:style>
  <w:style w:type="paragraph" w:styleId="Heading4">
    <w:name w:val="heading 4"/>
    <w:basedOn w:val="Normal"/>
    <w:next w:val="Normal"/>
    <w:link w:val="Heading4Char"/>
    <w:qFormat/>
    <w:rsid w:val="00BE55BB"/>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5BB"/>
    <w:rPr>
      <w:rFonts w:ascii="Arial" w:eastAsia="Times New Roman" w:hAnsi="Arial" w:cs="Times New Roman"/>
      <w:b/>
      <w:kern w:val="32"/>
      <w:sz w:val="32"/>
      <w:szCs w:val="20"/>
    </w:rPr>
  </w:style>
  <w:style w:type="character" w:customStyle="1" w:styleId="Heading4Char">
    <w:name w:val="Heading 4 Char"/>
    <w:basedOn w:val="DefaultParagraphFont"/>
    <w:link w:val="Heading4"/>
    <w:rsid w:val="00BE55BB"/>
    <w:rPr>
      <w:rFonts w:ascii="Arial" w:eastAsia="Times New Roman" w:hAnsi="Arial" w:cs="Times New Roman"/>
      <w:b/>
      <w:sz w:val="24"/>
      <w:szCs w:val="20"/>
    </w:rPr>
  </w:style>
  <w:style w:type="paragraph" w:styleId="Header">
    <w:name w:val="header"/>
    <w:basedOn w:val="Normal"/>
    <w:link w:val="HeaderChar"/>
    <w:uiPriority w:val="99"/>
    <w:rsid w:val="00BE55BB"/>
    <w:pPr>
      <w:tabs>
        <w:tab w:val="center" w:pos="4320"/>
        <w:tab w:val="right" w:pos="8640"/>
      </w:tabs>
    </w:pPr>
  </w:style>
  <w:style w:type="character" w:customStyle="1" w:styleId="HeaderChar">
    <w:name w:val="Header Char"/>
    <w:basedOn w:val="DefaultParagraphFont"/>
    <w:link w:val="Header"/>
    <w:uiPriority w:val="99"/>
    <w:rsid w:val="00BE55BB"/>
    <w:rPr>
      <w:rFonts w:ascii="Times New Roman" w:eastAsia="Times New Roman" w:hAnsi="Times New Roman" w:cs="Times New Roman"/>
      <w:sz w:val="24"/>
      <w:szCs w:val="20"/>
    </w:rPr>
  </w:style>
  <w:style w:type="paragraph" w:styleId="Footer">
    <w:name w:val="footer"/>
    <w:basedOn w:val="Normal"/>
    <w:link w:val="FooterChar"/>
    <w:rsid w:val="00BE55BB"/>
    <w:pPr>
      <w:tabs>
        <w:tab w:val="center" w:pos="4320"/>
        <w:tab w:val="right" w:pos="8640"/>
      </w:tabs>
    </w:pPr>
  </w:style>
  <w:style w:type="character" w:customStyle="1" w:styleId="FooterChar">
    <w:name w:val="Footer Char"/>
    <w:basedOn w:val="DefaultParagraphFont"/>
    <w:link w:val="Footer"/>
    <w:rsid w:val="00BE55BB"/>
    <w:rPr>
      <w:rFonts w:ascii="Times New Roman" w:eastAsia="Times New Roman" w:hAnsi="Times New Roman" w:cs="Times New Roman"/>
      <w:sz w:val="24"/>
      <w:szCs w:val="20"/>
    </w:rPr>
  </w:style>
  <w:style w:type="character" w:styleId="PageNumber">
    <w:name w:val="page number"/>
    <w:basedOn w:val="DefaultParagraphFont"/>
    <w:rsid w:val="00BE55BB"/>
  </w:style>
  <w:style w:type="paragraph" w:styleId="BodyText2">
    <w:name w:val="Body Text 2"/>
    <w:basedOn w:val="Normal"/>
    <w:link w:val="BodyText2Char"/>
    <w:rsid w:val="00BE55BB"/>
    <w:pPr>
      <w:jc w:val="both"/>
    </w:pPr>
  </w:style>
  <w:style w:type="character" w:customStyle="1" w:styleId="BodyText2Char">
    <w:name w:val="Body Text 2 Char"/>
    <w:basedOn w:val="DefaultParagraphFont"/>
    <w:link w:val="BodyText2"/>
    <w:rsid w:val="00BE55BB"/>
    <w:rPr>
      <w:rFonts w:ascii="Times New Roman" w:eastAsia="Times New Roman" w:hAnsi="Times New Roman" w:cs="Times New Roman"/>
      <w:sz w:val="24"/>
      <w:szCs w:val="20"/>
    </w:rPr>
  </w:style>
  <w:style w:type="paragraph" w:styleId="BodyText3">
    <w:name w:val="Body Text 3"/>
    <w:basedOn w:val="Normal"/>
    <w:link w:val="BodyText3Char"/>
    <w:rsid w:val="00BE55BB"/>
    <w:pPr>
      <w:jc w:val="both"/>
    </w:pPr>
    <w:rPr>
      <w:sz w:val="22"/>
    </w:rPr>
  </w:style>
  <w:style w:type="character" w:customStyle="1" w:styleId="BodyText3Char">
    <w:name w:val="Body Text 3 Char"/>
    <w:basedOn w:val="DefaultParagraphFont"/>
    <w:link w:val="BodyText3"/>
    <w:rsid w:val="00BE55BB"/>
    <w:rPr>
      <w:rFonts w:ascii="Times New Roman" w:eastAsia="Times New Roman" w:hAnsi="Times New Roman" w:cs="Times New Roman"/>
      <w:szCs w:val="20"/>
    </w:rPr>
  </w:style>
  <w:style w:type="paragraph" w:styleId="Caption">
    <w:name w:val="caption"/>
    <w:basedOn w:val="Normal"/>
    <w:next w:val="Normal"/>
    <w:qFormat/>
    <w:rsid w:val="00BE55BB"/>
    <w:pPr>
      <w:jc w:val="center"/>
    </w:pPr>
    <w:rPr>
      <w:rFonts w:ascii="Goudy Old Style" w:hAnsi="Goudy Old Style"/>
      <w:b/>
      <w:sz w:val="22"/>
    </w:rPr>
  </w:style>
  <w:style w:type="paragraph" w:styleId="BodyTextIndent">
    <w:name w:val="Body Text Indent"/>
    <w:basedOn w:val="Normal"/>
    <w:link w:val="BodyTextIndentChar"/>
    <w:rsid w:val="00BE55BB"/>
    <w:pPr>
      <w:ind w:left="360"/>
      <w:jc w:val="both"/>
    </w:pPr>
    <w:rPr>
      <w:i/>
      <w:iCs/>
      <w:snapToGrid w:val="0"/>
      <w:color w:val="0000FF"/>
      <w:sz w:val="22"/>
    </w:rPr>
  </w:style>
  <w:style w:type="character" w:customStyle="1" w:styleId="BodyTextIndentChar">
    <w:name w:val="Body Text Indent Char"/>
    <w:basedOn w:val="DefaultParagraphFont"/>
    <w:link w:val="BodyTextIndent"/>
    <w:rsid w:val="00BE55BB"/>
    <w:rPr>
      <w:rFonts w:ascii="Times New Roman" w:eastAsia="Times New Roman" w:hAnsi="Times New Roman" w:cs="Times New Roman"/>
      <w:i/>
      <w:iCs/>
      <w:snapToGrid w:val="0"/>
      <w:color w:val="0000FF"/>
      <w:szCs w:val="20"/>
    </w:rPr>
  </w:style>
  <w:style w:type="paragraph" w:styleId="Title">
    <w:name w:val="Title"/>
    <w:basedOn w:val="Normal"/>
    <w:link w:val="TitleChar"/>
    <w:qFormat/>
    <w:rsid w:val="00BE55BB"/>
    <w:pPr>
      <w:jc w:val="center"/>
    </w:pPr>
    <w:rPr>
      <w:b/>
      <w:bCs/>
      <w:i/>
      <w:iCs/>
    </w:rPr>
  </w:style>
  <w:style w:type="character" w:customStyle="1" w:styleId="TitleChar">
    <w:name w:val="Title Char"/>
    <w:basedOn w:val="DefaultParagraphFont"/>
    <w:link w:val="Title"/>
    <w:rsid w:val="00BE55BB"/>
    <w:rPr>
      <w:rFonts w:ascii="Times New Roman" w:eastAsia="Times New Roman" w:hAnsi="Times New Roman" w:cs="Times New Roman"/>
      <w:b/>
      <w:bCs/>
      <w:i/>
      <w:iCs/>
      <w:sz w:val="24"/>
      <w:szCs w:val="20"/>
    </w:rPr>
  </w:style>
  <w:style w:type="paragraph" w:styleId="BalloonText">
    <w:name w:val="Balloon Text"/>
    <w:basedOn w:val="Normal"/>
    <w:link w:val="BalloonTextChar"/>
    <w:uiPriority w:val="99"/>
    <w:semiHidden/>
    <w:unhideWhenUsed/>
    <w:rsid w:val="00D46632"/>
    <w:rPr>
      <w:rFonts w:ascii="Tahoma" w:hAnsi="Tahoma" w:cs="Tahoma"/>
      <w:sz w:val="16"/>
      <w:szCs w:val="16"/>
    </w:rPr>
  </w:style>
  <w:style w:type="character" w:customStyle="1" w:styleId="BalloonTextChar">
    <w:name w:val="Balloon Text Char"/>
    <w:basedOn w:val="DefaultParagraphFont"/>
    <w:link w:val="BalloonText"/>
    <w:uiPriority w:val="99"/>
    <w:semiHidden/>
    <w:rsid w:val="00D46632"/>
    <w:rPr>
      <w:rFonts w:ascii="Tahoma" w:eastAsia="Times New Roman" w:hAnsi="Tahoma" w:cs="Tahoma"/>
      <w:sz w:val="16"/>
      <w:szCs w:val="16"/>
    </w:rPr>
  </w:style>
  <w:style w:type="table" w:styleId="TableGrid">
    <w:name w:val="Table Grid"/>
    <w:basedOn w:val="TableNormal"/>
    <w:uiPriority w:val="39"/>
    <w:rsid w:val="003713CA"/>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713CA"/>
    <w:pPr>
      <w:spacing w:after="0" w:line="240" w:lineRule="auto"/>
    </w:pPr>
    <w:rPr>
      <w:rFonts w:ascii="Times New Roman" w:eastAsia="Calibri" w:hAnsi="Times New Roman" w:cs="Calibri"/>
      <w:color w:val="000000"/>
      <w:sz w:val="24"/>
    </w:rPr>
  </w:style>
  <w:style w:type="paragraph" w:styleId="ListParagraph">
    <w:name w:val="List Paragraph"/>
    <w:basedOn w:val="Normal"/>
    <w:uiPriority w:val="34"/>
    <w:qFormat/>
    <w:rsid w:val="00393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cadesandre</dc:creator>
  <cp:lastModifiedBy>Christopher Jackson</cp:lastModifiedBy>
  <cp:revision>2</cp:revision>
  <dcterms:created xsi:type="dcterms:W3CDTF">2017-02-27T17:49:00Z</dcterms:created>
  <dcterms:modified xsi:type="dcterms:W3CDTF">2017-02-27T17:49:00Z</dcterms:modified>
</cp:coreProperties>
</file>